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word/people.xml" ContentType="application/vnd.openxmlformats-officedocument.wordprocessingml.people+xml"/>
  <Override PartName="/word/commentsExtended.xml" ContentType="application/vnd.openxmlformats-officedocument.wordprocessingml.commentsExtended+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topFromText="5528" w:vertAnchor="page" w:horzAnchor="page" w:tblpX="1362" w:tblpY="5104"/>
        <w:tblW w:w="0" w:type="auto"/>
        <w:tblBorders>
          <w:top w:val="single" w:sz="8" w:space="0" w:color="23236E" w:themeColor="text2"/>
          <w:left w:val="none" w:sz="0" w:space="0" w:color="auto"/>
          <w:bottom w:val="single" w:sz="8"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524"/>
      </w:tblGrid>
      <w:tr w:rsidR="00696EBB" w:rsidRPr="00544B00" w14:paraId="507ACBFE" w14:textId="77777777" w:rsidTr="007A686E">
        <w:tc>
          <w:tcPr>
            <w:tcW w:w="9524" w:type="dxa"/>
            <w:tcMar>
              <w:top w:w="198" w:type="dxa"/>
            </w:tcMar>
          </w:tcPr>
          <w:p w14:paraId="0468C06A" w14:textId="51E11DB2" w:rsidR="002A5A44" w:rsidRDefault="002A5A44" w:rsidP="00471AA4">
            <w:pPr>
              <w:pStyle w:val="headlineheader"/>
              <w:spacing w:line="276" w:lineRule="auto"/>
              <w:jc w:val="center"/>
              <w:rPr>
                <w:sz w:val="32"/>
                <w:szCs w:val="32"/>
              </w:rPr>
            </w:pPr>
          </w:p>
          <w:p w14:paraId="25E800FE" w14:textId="612DBBE2" w:rsidR="002A5A44" w:rsidRPr="00EC6855" w:rsidRDefault="002A5A44" w:rsidP="00DC690E">
            <w:pPr>
              <w:pStyle w:val="Footer"/>
              <w:jc w:val="center"/>
              <w:rPr>
                <w:lang w:val="en-US"/>
              </w:rPr>
            </w:pPr>
            <w:r w:rsidRPr="00274086">
              <w:rPr>
                <w:rFonts w:cstheme="minorHAnsi"/>
                <w:sz w:val="36"/>
                <w:szCs w:val="36"/>
                <w:lang w:val="en-US"/>
              </w:rPr>
              <w:t xml:space="preserve">SEE CCR TSOs proposal for </w:t>
            </w:r>
            <w:proofErr w:type="spellStart"/>
            <w:r w:rsidRPr="00274086">
              <w:rPr>
                <w:rFonts w:cstheme="minorHAnsi"/>
                <w:sz w:val="36"/>
                <w:szCs w:val="36"/>
                <w:lang w:val="en-US"/>
              </w:rPr>
              <w:t>Redispatching</w:t>
            </w:r>
            <w:proofErr w:type="spellEnd"/>
            <w:r w:rsidRPr="00274086">
              <w:rPr>
                <w:rFonts w:cstheme="minorHAnsi"/>
                <w:sz w:val="36"/>
                <w:szCs w:val="36"/>
                <w:lang w:val="en-US"/>
              </w:rPr>
              <w:t xml:space="preserve"> and Countertrading cost sharing methodology in accordance with Article 74 of Commission Regulation (EU) 2015/1222 of 24 July 2015 establishing a guideline on capacity allocation and congestion management</w:t>
            </w:r>
          </w:p>
        </w:tc>
      </w:tr>
      <w:tr w:rsidR="00696EBB" w:rsidRPr="00544B00" w14:paraId="573E7E98" w14:textId="77777777" w:rsidTr="007A686E">
        <w:tc>
          <w:tcPr>
            <w:tcW w:w="9524" w:type="dxa"/>
          </w:tcPr>
          <w:p w14:paraId="328DC4B0" w14:textId="77777777" w:rsidR="00696EBB" w:rsidRPr="00DC690E" w:rsidRDefault="00696EBB" w:rsidP="001A3B31">
            <w:pPr>
              <w:pStyle w:val="textheader"/>
              <w:jc w:val="both"/>
              <w:rPr>
                <w:rFonts w:ascii="Times New Roman" w:hAnsi="Times New Roman" w:cs="Times New Roman"/>
                <w:sz w:val="24"/>
                <w:szCs w:val="24"/>
                <w:lang w:val="en-GB"/>
              </w:rPr>
            </w:pPr>
          </w:p>
          <w:p w14:paraId="11F0A033" w14:textId="77777777" w:rsidR="00DC690E" w:rsidRPr="00DC690E" w:rsidRDefault="00DC690E" w:rsidP="001A3B31">
            <w:pPr>
              <w:pStyle w:val="textheader"/>
              <w:jc w:val="both"/>
              <w:rPr>
                <w:rFonts w:ascii="Times New Roman" w:hAnsi="Times New Roman" w:cs="Times New Roman"/>
                <w:sz w:val="24"/>
                <w:szCs w:val="24"/>
                <w:lang w:val="en-GB"/>
              </w:rPr>
            </w:pPr>
          </w:p>
        </w:tc>
      </w:tr>
      <w:tr w:rsidR="0066321D" w:rsidRPr="00544B00" w14:paraId="6A6CE909" w14:textId="77777777" w:rsidTr="0066321D">
        <w:trPr>
          <w:trHeight w:val="609"/>
        </w:trPr>
        <w:tc>
          <w:tcPr>
            <w:tcW w:w="9524" w:type="dxa"/>
          </w:tcPr>
          <w:p w14:paraId="138B84A8" w14:textId="767FCE69" w:rsidR="0066321D" w:rsidRPr="00DC690E" w:rsidRDefault="0066321D" w:rsidP="00EC6855">
            <w:pPr>
              <w:pStyle w:val="textheader"/>
              <w:jc w:val="center"/>
              <w:rPr>
                <w:rFonts w:ascii="Times New Roman" w:hAnsi="Times New Roman" w:cs="Times New Roman"/>
                <w:sz w:val="24"/>
                <w:szCs w:val="24"/>
                <w:lang w:val="en-GB"/>
              </w:rPr>
            </w:pPr>
          </w:p>
        </w:tc>
      </w:tr>
      <w:tr w:rsidR="0066321D" w:rsidRPr="00544B00" w14:paraId="5C86B6FC" w14:textId="77777777" w:rsidTr="007A686E">
        <w:tc>
          <w:tcPr>
            <w:tcW w:w="9524" w:type="dxa"/>
            <w:tcMar>
              <w:bottom w:w="142" w:type="dxa"/>
            </w:tcMar>
          </w:tcPr>
          <w:p w14:paraId="5D301A6C" w14:textId="77777777" w:rsidR="0066321D" w:rsidRPr="00DC690E" w:rsidRDefault="0066321D" w:rsidP="0066321D">
            <w:pPr>
              <w:pStyle w:val="time"/>
              <w:framePr w:hSpace="0" w:vSpace="0" w:wrap="auto" w:vAnchor="margin" w:hAnchor="text" w:xAlign="left" w:yAlign="inline"/>
              <w:jc w:val="both"/>
              <w:rPr>
                <w:rFonts w:ascii="Times New Roman" w:hAnsi="Times New Roman" w:cs="Times New Roman"/>
                <w:sz w:val="24"/>
                <w:szCs w:val="24"/>
                <w:lang w:val="en-GB"/>
              </w:rPr>
            </w:pPr>
          </w:p>
          <w:p w14:paraId="197284D1" w14:textId="77777777" w:rsidR="009D4257" w:rsidRPr="00DC690E" w:rsidRDefault="009D4257" w:rsidP="0066321D">
            <w:pPr>
              <w:pStyle w:val="time"/>
              <w:framePr w:hSpace="0" w:vSpace="0" w:wrap="auto" w:vAnchor="margin" w:hAnchor="text" w:xAlign="left" w:yAlign="inline"/>
              <w:jc w:val="both"/>
              <w:rPr>
                <w:rFonts w:ascii="Times New Roman" w:hAnsi="Times New Roman" w:cs="Times New Roman"/>
                <w:sz w:val="24"/>
                <w:szCs w:val="24"/>
                <w:lang w:val="en-GB"/>
              </w:rPr>
            </w:pPr>
          </w:p>
          <w:p w14:paraId="0782FB95" w14:textId="77777777" w:rsidR="009D4257" w:rsidRPr="00DC690E" w:rsidRDefault="009D4257" w:rsidP="00EC6855">
            <w:pPr>
              <w:pStyle w:val="time"/>
              <w:framePr w:hSpace="0" w:vSpace="0" w:wrap="auto" w:vAnchor="margin" w:hAnchor="text" w:xAlign="left" w:yAlign="inline"/>
              <w:jc w:val="center"/>
              <w:rPr>
                <w:rFonts w:ascii="Times New Roman" w:hAnsi="Times New Roman" w:cs="Times New Roman"/>
                <w:sz w:val="24"/>
                <w:szCs w:val="24"/>
                <w:lang w:val="en-GB"/>
              </w:rPr>
            </w:pPr>
            <w:r w:rsidRPr="00DC690E">
              <w:rPr>
                <w:rFonts w:ascii="Times New Roman" w:hAnsi="Times New Roman" w:cs="Times New Roman"/>
                <w:sz w:val="24"/>
                <w:szCs w:val="24"/>
                <w:lang w:val="en-GB"/>
              </w:rPr>
              <w:t>September 2018</w:t>
            </w:r>
          </w:p>
          <w:p w14:paraId="6F34ED76" w14:textId="595E08C3" w:rsidR="009D4257" w:rsidRPr="00DC690E" w:rsidRDefault="009D4257" w:rsidP="00EC6855">
            <w:pPr>
              <w:pStyle w:val="time"/>
              <w:framePr w:hSpace="0" w:vSpace="0" w:wrap="auto" w:vAnchor="margin" w:hAnchor="text" w:xAlign="left" w:yAlign="inline"/>
              <w:jc w:val="center"/>
              <w:rPr>
                <w:rFonts w:ascii="Times New Roman" w:hAnsi="Times New Roman" w:cs="Times New Roman"/>
                <w:sz w:val="24"/>
                <w:szCs w:val="24"/>
                <w:lang w:val="en-GB"/>
              </w:rPr>
            </w:pPr>
          </w:p>
        </w:tc>
      </w:tr>
    </w:tbl>
    <w:p w14:paraId="3726C9C6" w14:textId="22811A5A" w:rsidR="006157B9" w:rsidRPr="00544B00" w:rsidRDefault="006157B9" w:rsidP="00140291">
      <w:pPr>
        <w:pStyle w:val="textregular"/>
        <w:jc w:val="both"/>
      </w:pPr>
    </w:p>
    <w:p w14:paraId="66177DCE" w14:textId="201E88C2" w:rsidR="00474E1F" w:rsidRDefault="00474E1F" w:rsidP="00140291">
      <w:pPr>
        <w:pStyle w:val="textregular"/>
        <w:jc w:val="both"/>
      </w:pPr>
    </w:p>
    <w:p w14:paraId="7A120568" w14:textId="5728997C" w:rsidR="00BA0763" w:rsidRPr="00FD3B57" w:rsidRDefault="00BA0763" w:rsidP="00BA0763"/>
    <w:p w14:paraId="693A25A1" w14:textId="7AD5B425" w:rsidR="0045447A" w:rsidRDefault="0045447A" w:rsidP="00140291">
      <w:pPr>
        <w:pStyle w:val="textregular"/>
        <w:jc w:val="both"/>
      </w:pPr>
    </w:p>
    <w:p w14:paraId="07CFE87F" w14:textId="77777777" w:rsidR="0045447A" w:rsidRDefault="0045447A" w:rsidP="00140291">
      <w:pPr>
        <w:pStyle w:val="textregular"/>
        <w:jc w:val="both"/>
      </w:pPr>
    </w:p>
    <w:p w14:paraId="16F35837" w14:textId="77777777" w:rsidR="00EC6855" w:rsidRDefault="00EC6855" w:rsidP="00140291">
      <w:pPr>
        <w:pStyle w:val="textregular"/>
        <w:jc w:val="both"/>
      </w:pPr>
    </w:p>
    <w:p w14:paraId="108C00E9" w14:textId="77777777" w:rsidR="00EC6855" w:rsidRDefault="00EC6855" w:rsidP="00140291">
      <w:pPr>
        <w:pStyle w:val="textregular"/>
        <w:jc w:val="both"/>
      </w:pPr>
    </w:p>
    <w:p w14:paraId="660BB6B2" w14:textId="77777777" w:rsidR="00EC6855" w:rsidRDefault="00EC6855" w:rsidP="00140291">
      <w:pPr>
        <w:pStyle w:val="textregular"/>
        <w:jc w:val="both"/>
      </w:pPr>
    </w:p>
    <w:p w14:paraId="0A619A30" w14:textId="77777777" w:rsidR="00D515D3" w:rsidRDefault="00D515D3" w:rsidP="00140291">
      <w:pPr>
        <w:pStyle w:val="textregular"/>
        <w:jc w:val="both"/>
      </w:pPr>
    </w:p>
    <w:p w14:paraId="6A2341A2" w14:textId="77777777" w:rsidR="002A5A44" w:rsidRPr="00D515D3" w:rsidRDefault="002A5A44" w:rsidP="002A5A44">
      <w:pPr>
        <w:widowControl w:val="0"/>
        <w:spacing w:after="120"/>
        <w:ind w:left="360"/>
        <w:rPr>
          <w:rFonts w:eastAsia="Times New Roman" w:cstheme="minorHAnsi"/>
          <w:lang w:val="en-US"/>
        </w:rPr>
      </w:pPr>
      <w:bookmarkStart w:id="0" w:name="_Toc432586767"/>
      <w:bookmarkStart w:id="1" w:name="_Toc432586787"/>
      <w:bookmarkStart w:id="2" w:name="_Toc445298912"/>
      <w:bookmarkStart w:id="3" w:name="_Toc445299174"/>
      <w:bookmarkStart w:id="4" w:name="_Toc445825430"/>
      <w:r w:rsidRPr="00D515D3">
        <w:rPr>
          <w:rFonts w:eastAsia="Times New Roman" w:cstheme="minorHAnsi"/>
          <w:lang w:val="en-US"/>
        </w:rPr>
        <w:t xml:space="preserve">All Transmission System Operators of the SEE CCR (ADMIE, ESO EAD, </w:t>
      </w:r>
      <w:proofErr w:type="spellStart"/>
      <w:proofErr w:type="gramStart"/>
      <w:r w:rsidRPr="00D515D3">
        <w:rPr>
          <w:rFonts w:eastAsia="Times New Roman" w:cstheme="minorHAnsi"/>
          <w:lang w:val="en-US"/>
        </w:rPr>
        <w:t>Transelectrica</w:t>
      </w:r>
      <w:proofErr w:type="spellEnd"/>
      <w:proofErr w:type="gramEnd"/>
      <w:r w:rsidRPr="00D515D3">
        <w:rPr>
          <w:rFonts w:eastAsia="Times New Roman" w:cstheme="minorHAnsi"/>
          <w:lang w:val="en-US"/>
        </w:rPr>
        <w:t>) taking into account the following,</w:t>
      </w:r>
    </w:p>
    <w:p w14:paraId="6599D045" w14:textId="77777777" w:rsidR="002A5A44" w:rsidRPr="002A5A44" w:rsidRDefault="002A5A44" w:rsidP="002A5A44">
      <w:pPr>
        <w:widowControl w:val="0"/>
        <w:spacing w:before="400" w:after="120" w:line="340" w:lineRule="exact"/>
        <w:jc w:val="center"/>
        <w:outlineLvl w:val="0"/>
        <w:rPr>
          <w:rFonts w:ascii="Calibri" w:eastAsia="Times New Roman" w:hAnsi="Calibri" w:cs="Times New Roman"/>
          <w:b/>
          <w:bCs/>
          <w:color w:val="23236E"/>
          <w:sz w:val="24"/>
        </w:rPr>
      </w:pPr>
      <w:bookmarkStart w:id="5" w:name="_Toc497816904"/>
      <w:r w:rsidRPr="002A5A44">
        <w:rPr>
          <w:rFonts w:ascii="Calibri" w:eastAsia="Times New Roman" w:hAnsi="Calibri" w:cs="Times New Roman"/>
          <w:b/>
          <w:bCs/>
          <w:color w:val="23236E"/>
          <w:sz w:val="24"/>
        </w:rPr>
        <w:t>Whereas</w:t>
      </w:r>
      <w:bookmarkEnd w:id="0"/>
      <w:bookmarkEnd w:id="1"/>
      <w:bookmarkEnd w:id="2"/>
      <w:bookmarkEnd w:id="3"/>
      <w:bookmarkEnd w:id="4"/>
      <w:bookmarkEnd w:id="5"/>
    </w:p>
    <w:p w14:paraId="58D7E0E6" w14:textId="77777777" w:rsidR="002A5A44" w:rsidRPr="002A5A44" w:rsidRDefault="002A5A44" w:rsidP="002A5A44">
      <w:pPr>
        <w:widowControl w:val="0"/>
        <w:numPr>
          <w:ilvl w:val="0"/>
          <w:numId w:val="57"/>
        </w:numPr>
        <w:tabs>
          <w:tab w:val="left" w:pos="1115"/>
        </w:tabs>
        <w:spacing w:before="131" w:line="259" w:lineRule="auto"/>
        <w:ind w:right="509"/>
        <w:jc w:val="both"/>
        <w:rPr>
          <w:rFonts w:ascii="Times New Roman" w:eastAsia="Times New Roman" w:hAnsi="Times New Roman" w:cs="Times New Roman"/>
          <w:lang w:val="en-US"/>
        </w:rPr>
      </w:pPr>
      <w:r w:rsidRPr="002A5A44">
        <w:rPr>
          <w:rFonts w:ascii="Times New Roman" w:eastAsia="Times New Roman" w:hAnsi="Times New Roman" w:cs="Times New Roman"/>
          <w:lang w:val="en-US"/>
        </w:rPr>
        <w:t>This document is</w:t>
      </w:r>
      <w:r w:rsidRPr="002A5A44">
        <w:rPr>
          <w:rFonts w:ascii="Times New Roman" w:eastAsia="Times New Roman" w:hAnsi="Times New Roman" w:cs="Times New Roman"/>
          <w:spacing w:val="-6"/>
          <w:lang w:val="en-US"/>
        </w:rPr>
        <w:t xml:space="preserve"> </w:t>
      </w:r>
      <w:r w:rsidRPr="002A5A44">
        <w:rPr>
          <w:rFonts w:ascii="Times New Roman" w:eastAsia="Times New Roman" w:hAnsi="Times New Roman" w:cs="Times New Roman"/>
          <w:lang w:val="en-US"/>
        </w:rPr>
        <w:t xml:space="preserve">a common proposal developed by all Transmission System Operators of the SEE Capacity Calculation Region (hereafter referred to as “TSOs”), for </w:t>
      </w:r>
      <w:proofErr w:type="spellStart"/>
      <w:r w:rsidRPr="002A5A44">
        <w:rPr>
          <w:rFonts w:ascii="Times New Roman" w:eastAsia="Times New Roman" w:hAnsi="Times New Roman" w:cs="Times New Roman"/>
          <w:lang w:val="en-US"/>
        </w:rPr>
        <w:t>Redispatching</w:t>
      </w:r>
      <w:proofErr w:type="spellEnd"/>
      <w:r w:rsidRPr="002A5A44">
        <w:rPr>
          <w:rFonts w:ascii="Times New Roman" w:eastAsia="Times New Roman" w:hAnsi="Times New Roman" w:cs="Times New Roman"/>
          <w:lang w:val="en-US"/>
        </w:rPr>
        <w:t xml:space="preserve"> and Countertrading cost sharing (hereafter referred to as “Cost sharing proposal”) in accordance with Article 74 of Commission regulation (EU) 2015/1222 establishing a guideline on Capacity allocation and congestion management (hereafter referred to as the ‘’CACM Regulation.’’). </w:t>
      </w:r>
    </w:p>
    <w:p w14:paraId="6CDBBEBB" w14:textId="1FACE5A5" w:rsidR="002A5A44" w:rsidRPr="002A5A44" w:rsidRDefault="002A5A44" w:rsidP="002A5A44">
      <w:pPr>
        <w:widowControl w:val="0"/>
        <w:numPr>
          <w:ilvl w:val="0"/>
          <w:numId w:val="57"/>
        </w:numPr>
        <w:tabs>
          <w:tab w:val="left" w:pos="1115"/>
        </w:tabs>
        <w:spacing w:before="131" w:line="259" w:lineRule="auto"/>
        <w:ind w:right="509"/>
        <w:jc w:val="both"/>
        <w:rPr>
          <w:rFonts w:ascii="Times New Roman" w:eastAsia="Times New Roman" w:hAnsi="Times New Roman" w:cs="Times New Roman"/>
          <w:lang w:val="en-US"/>
        </w:rPr>
      </w:pPr>
      <w:r w:rsidRPr="002A5A44">
        <w:rPr>
          <w:rFonts w:ascii="Times New Roman" w:eastAsia="Times New Roman" w:hAnsi="Times New Roman" w:cs="Times New Roman"/>
          <w:lang w:val="en-US"/>
        </w:rPr>
        <w:t xml:space="preserve">According to Article 9 (9) of the CACM Regulation, a timeline for implementation of the proposed Cost Sharing Proposal has to be included. </w:t>
      </w:r>
      <w:r w:rsidRPr="00E03C51">
        <w:rPr>
          <w:rFonts w:ascii="Times New Roman" w:eastAsia="Times New Roman" w:hAnsi="Times New Roman" w:cs="Times New Roman"/>
          <w:lang w:val="en-US"/>
        </w:rPr>
        <w:t>The timeline for</w:t>
      </w:r>
      <w:r w:rsidR="00E03C51" w:rsidRPr="00E03C51">
        <w:rPr>
          <w:rFonts w:ascii="Times New Roman" w:eastAsia="Times New Roman" w:hAnsi="Times New Roman" w:cs="Times New Roman"/>
          <w:lang w:val="en-US"/>
        </w:rPr>
        <w:t xml:space="preserve"> monitoring </w:t>
      </w:r>
      <w:proofErr w:type="gramStart"/>
      <w:r w:rsidR="00E03C51" w:rsidRPr="00E03C51">
        <w:rPr>
          <w:rFonts w:ascii="Times New Roman" w:eastAsia="Times New Roman" w:hAnsi="Times New Roman" w:cs="Times New Roman"/>
          <w:lang w:val="en-US"/>
        </w:rPr>
        <w:t xml:space="preserve">and </w:t>
      </w:r>
      <w:r w:rsidRPr="00E03C51">
        <w:rPr>
          <w:rFonts w:ascii="Times New Roman" w:eastAsia="Times New Roman" w:hAnsi="Times New Roman" w:cs="Times New Roman"/>
          <w:lang w:val="en-US"/>
        </w:rPr>
        <w:t xml:space="preserve"> implementation</w:t>
      </w:r>
      <w:proofErr w:type="gramEnd"/>
      <w:r w:rsidRPr="00E03C51">
        <w:rPr>
          <w:rFonts w:ascii="Times New Roman" w:eastAsia="Times New Roman" w:hAnsi="Times New Roman" w:cs="Times New Roman"/>
          <w:lang w:val="en-US"/>
        </w:rPr>
        <w:t xml:space="preserve"> is presented </w:t>
      </w:r>
      <w:r w:rsidRPr="00E079EB">
        <w:rPr>
          <w:rFonts w:ascii="Times New Roman" w:eastAsia="Times New Roman" w:hAnsi="Times New Roman" w:cs="Times New Roman"/>
          <w:lang w:val="en-US"/>
        </w:rPr>
        <w:t>in Article</w:t>
      </w:r>
      <w:r w:rsidR="00E03C51" w:rsidRPr="00E079EB">
        <w:rPr>
          <w:rFonts w:ascii="Times New Roman" w:eastAsia="Times New Roman" w:hAnsi="Times New Roman" w:cs="Times New Roman"/>
          <w:lang w:val="en-US"/>
        </w:rPr>
        <w:t>s</w:t>
      </w:r>
      <w:r w:rsidRPr="00E079EB">
        <w:rPr>
          <w:rFonts w:ascii="Times New Roman" w:eastAsia="Times New Roman" w:hAnsi="Times New Roman" w:cs="Times New Roman"/>
          <w:lang w:val="en-US"/>
        </w:rPr>
        <w:t xml:space="preserve"> 11 </w:t>
      </w:r>
      <w:r w:rsidR="00E03C51" w:rsidRPr="00E079EB">
        <w:rPr>
          <w:rFonts w:ascii="Times New Roman" w:eastAsia="Times New Roman" w:hAnsi="Times New Roman" w:cs="Times New Roman"/>
          <w:lang w:val="en-US"/>
        </w:rPr>
        <w:t xml:space="preserve">and 14 </w:t>
      </w:r>
      <w:r w:rsidRPr="00E079EB">
        <w:rPr>
          <w:rFonts w:ascii="Times New Roman" w:eastAsia="Times New Roman" w:hAnsi="Times New Roman" w:cs="Times New Roman"/>
          <w:lang w:val="en-US"/>
        </w:rPr>
        <w:t>of this document.</w:t>
      </w:r>
    </w:p>
    <w:p w14:paraId="4530EA58" w14:textId="3C6E1160" w:rsidR="002A5A44" w:rsidRPr="00E03C51" w:rsidRDefault="002A5A44" w:rsidP="002A5A44">
      <w:pPr>
        <w:widowControl w:val="0"/>
        <w:numPr>
          <w:ilvl w:val="0"/>
          <w:numId w:val="57"/>
        </w:numPr>
        <w:tabs>
          <w:tab w:val="left" w:pos="1115"/>
        </w:tabs>
        <w:spacing w:before="131" w:line="259" w:lineRule="auto"/>
        <w:ind w:right="509"/>
        <w:jc w:val="both"/>
        <w:rPr>
          <w:rFonts w:ascii="Times New Roman" w:eastAsia="Times New Roman" w:hAnsi="Times New Roman" w:cs="Times New Roman"/>
          <w:lang w:val="en-US"/>
        </w:rPr>
      </w:pPr>
      <w:r w:rsidRPr="00E03C51">
        <w:rPr>
          <w:rFonts w:ascii="Times New Roman" w:eastAsia="Times New Roman" w:hAnsi="Times New Roman" w:cs="Times New Roman"/>
          <w:lang w:val="en-US"/>
        </w:rPr>
        <w:t xml:space="preserve">According to Article 9 (9) of the CACM Regulation, the expected impact of </w:t>
      </w:r>
      <w:proofErr w:type="gramStart"/>
      <w:r w:rsidRPr="00E03C51">
        <w:rPr>
          <w:rFonts w:ascii="Times New Roman" w:eastAsia="Times New Roman" w:hAnsi="Times New Roman" w:cs="Times New Roman"/>
          <w:lang w:val="en-US"/>
        </w:rPr>
        <w:t>the  Proposal</w:t>
      </w:r>
      <w:proofErr w:type="gramEnd"/>
      <w:r w:rsidRPr="00E03C51">
        <w:rPr>
          <w:rFonts w:ascii="Times New Roman" w:eastAsia="Times New Roman" w:hAnsi="Times New Roman" w:cs="Times New Roman"/>
          <w:lang w:val="en-US"/>
        </w:rPr>
        <w:t xml:space="preserve"> on the objectives of the CACM Regulation has to be described. The impact is presented below (point 7 of the </w:t>
      </w:r>
      <w:proofErr w:type="gramStart"/>
      <w:r w:rsidRPr="00E03C51">
        <w:rPr>
          <w:rFonts w:ascii="Times New Roman" w:eastAsia="Times New Roman" w:hAnsi="Times New Roman" w:cs="Times New Roman"/>
          <w:lang w:val="en-US"/>
        </w:rPr>
        <w:t>Whereas</w:t>
      </w:r>
      <w:proofErr w:type="gramEnd"/>
      <w:r w:rsidRPr="00E03C51">
        <w:rPr>
          <w:rFonts w:ascii="Times New Roman" w:eastAsia="Times New Roman" w:hAnsi="Times New Roman" w:cs="Times New Roman"/>
          <w:lang w:val="en-US"/>
        </w:rPr>
        <w:t>).</w:t>
      </w:r>
    </w:p>
    <w:p w14:paraId="009B06B8" w14:textId="77777777" w:rsidR="002A5A44" w:rsidRPr="002A5A44" w:rsidRDefault="002A5A44" w:rsidP="002A5A44">
      <w:pPr>
        <w:widowControl w:val="0"/>
        <w:numPr>
          <w:ilvl w:val="0"/>
          <w:numId w:val="57"/>
        </w:numPr>
        <w:tabs>
          <w:tab w:val="left" w:pos="1115"/>
        </w:tabs>
        <w:spacing w:before="131" w:line="259" w:lineRule="auto"/>
        <w:ind w:right="509"/>
        <w:jc w:val="both"/>
        <w:rPr>
          <w:rFonts w:ascii="Times New Roman" w:eastAsia="Times New Roman" w:hAnsi="Times New Roman" w:cs="Times New Roman"/>
          <w:lang w:val="en-US"/>
        </w:rPr>
      </w:pPr>
      <w:r w:rsidRPr="002A5A44">
        <w:rPr>
          <w:rFonts w:ascii="Times New Roman" w:eastAsia="Times New Roman" w:hAnsi="Times New Roman" w:cs="Times New Roman"/>
          <w:lang w:val="en-US"/>
        </w:rPr>
        <w:t xml:space="preserve">The TSOs aim at ensuring consistency with the </w:t>
      </w:r>
      <w:proofErr w:type="spellStart"/>
      <w:r w:rsidRPr="002A5A44">
        <w:rPr>
          <w:rFonts w:ascii="Times New Roman" w:eastAsia="Times New Roman" w:hAnsi="Times New Roman" w:cs="Times New Roman"/>
          <w:lang w:val="en-US"/>
        </w:rPr>
        <w:t>redispatching</w:t>
      </w:r>
      <w:proofErr w:type="spellEnd"/>
      <w:r w:rsidRPr="002A5A44">
        <w:rPr>
          <w:rFonts w:ascii="Times New Roman" w:eastAsia="Times New Roman" w:hAnsi="Times New Roman" w:cs="Times New Roman"/>
          <w:lang w:val="en-US"/>
        </w:rPr>
        <w:t xml:space="preserve"> and countertrading cost sharing methodologies of other Capacity Calculation Regions in which same bidding zones are concerned whilst acknowledging the specific characteristics of the interconnectors within the SEE Capacity Calculation Region.</w:t>
      </w:r>
    </w:p>
    <w:p w14:paraId="565D5EAA" w14:textId="77777777" w:rsidR="002A5A44" w:rsidRPr="002A5A44" w:rsidRDefault="002A5A44" w:rsidP="002A5A44">
      <w:pPr>
        <w:widowControl w:val="0"/>
        <w:numPr>
          <w:ilvl w:val="0"/>
          <w:numId w:val="57"/>
        </w:numPr>
        <w:tabs>
          <w:tab w:val="left" w:pos="1115"/>
        </w:tabs>
        <w:spacing w:before="131" w:line="259" w:lineRule="auto"/>
        <w:ind w:right="509"/>
        <w:jc w:val="both"/>
        <w:rPr>
          <w:rFonts w:ascii="Times New Roman" w:eastAsia="Times New Roman" w:hAnsi="Times New Roman" w:cs="Times New Roman"/>
          <w:lang w:val="en-US"/>
        </w:rPr>
      </w:pPr>
      <w:r w:rsidRPr="002A5A44">
        <w:rPr>
          <w:rFonts w:ascii="Times New Roman" w:eastAsia="Times New Roman" w:hAnsi="Times New Roman" w:cs="Times New Roman"/>
          <w:lang w:val="en-US"/>
        </w:rPr>
        <w:t xml:space="preserve">This proposal takes into account the TSOs' proposal for a day-ahead and intraday capacity calculation methodology in accordance with Article 20 of the CACM Regulation and submitted to the NRAs. </w:t>
      </w:r>
    </w:p>
    <w:p w14:paraId="570584D6" w14:textId="77777777" w:rsidR="002A5A44" w:rsidRPr="002A5A44" w:rsidRDefault="002A5A44" w:rsidP="002A5A44">
      <w:pPr>
        <w:widowControl w:val="0"/>
        <w:numPr>
          <w:ilvl w:val="0"/>
          <w:numId w:val="57"/>
        </w:numPr>
        <w:tabs>
          <w:tab w:val="left" w:pos="1115"/>
        </w:tabs>
        <w:spacing w:before="131" w:line="259" w:lineRule="auto"/>
        <w:ind w:right="509"/>
        <w:jc w:val="both"/>
        <w:rPr>
          <w:rFonts w:ascii="Times New Roman" w:eastAsia="Times New Roman" w:hAnsi="Times New Roman" w:cs="Times New Roman"/>
          <w:lang w:val="en-US"/>
        </w:rPr>
      </w:pPr>
      <w:r w:rsidRPr="002A5A44">
        <w:rPr>
          <w:rFonts w:ascii="Times New Roman" w:eastAsia="Times New Roman" w:hAnsi="Times New Roman" w:cs="Times New Roman"/>
          <w:lang w:val="en-US"/>
        </w:rPr>
        <w:t xml:space="preserve">This proposal takes into account the TSOs' proposal for the coordinated </w:t>
      </w:r>
      <w:proofErr w:type="spellStart"/>
      <w:r w:rsidRPr="002A5A44">
        <w:rPr>
          <w:rFonts w:ascii="Times New Roman" w:eastAsia="Times New Roman" w:hAnsi="Times New Roman" w:cs="Times New Roman"/>
          <w:lang w:val="en-US"/>
        </w:rPr>
        <w:t>Redispatching</w:t>
      </w:r>
      <w:proofErr w:type="spellEnd"/>
      <w:r w:rsidRPr="002A5A44">
        <w:rPr>
          <w:rFonts w:ascii="Times New Roman" w:eastAsia="Times New Roman" w:hAnsi="Times New Roman" w:cs="Times New Roman"/>
          <w:lang w:val="en-US"/>
        </w:rPr>
        <w:t xml:space="preserve"> and Countertrading methodology (hereinafter referred to as the “SEE RD and CT Methodology”) in accordance with Article 35 of the CACM Regulation and submitted to the NRAs of the SEE CCR for approval. The main aim of Countertrading and </w:t>
      </w:r>
      <w:proofErr w:type="spellStart"/>
      <w:r w:rsidRPr="002A5A44">
        <w:rPr>
          <w:rFonts w:ascii="Times New Roman" w:eastAsia="Times New Roman" w:hAnsi="Times New Roman" w:cs="Times New Roman"/>
          <w:lang w:val="en-US"/>
        </w:rPr>
        <w:t>Redispatching</w:t>
      </w:r>
      <w:proofErr w:type="spellEnd"/>
      <w:r w:rsidRPr="002A5A44">
        <w:rPr>
          <w:rFonts w:ascii="Times New Roman" w:eastAsia="Times New Roman" w:hAnsi="Times New Roman" w:cs="Times New Roman"/>
          <w:lang w:val="en-US"/>
        </w:rPr>
        <w:t xml:space="preserve"> methodology is to maximize cross border capacity over the SEE CCR, while ensuring the grid security.</w:t>
      </w:r>
    </w:p>
    <w:p w14:paraId="09C5EC53" w14:textId="77777777" w:rsidR="002A5A44" w:rsidRPr="002A5A44" w:rsidRDefault="002A5A44" w:rsidP="002A5A44">
      <w:pPr>
        <w:widowControl w:val="0"/>
        <w:numPr>
          <w:ilvl w:val="0"/>
          <w:numId w:val="57"/>
        </w:numPr>
        <w:tabs>
          <w:tab w:val="left" w:pos="1115"/>
        </w:tabs>
        <w:spacing w:before="131" w:line="259" w:lineRule="auto"/>
        <w:ind w:right="509"/>
        <w:jc w:val="both"/>
        <w:rPr>
          <w:rFonts w:ascii="Times New Roman" w:eastAsia="Times New Roman" w:hAnsi="Times New Roman" w:cs="Times New Roman"/>
          <w:lang w:val="el-GR"/>
        </w:rPr>
      </w:pPr>
      <w:r w:rsidRPr="002A5A44">
        <w:rPr>
          <w:rFonts w:ascii="Times New Roman" w:eastAsia="Times New Roman" w:hAnsi="Times New Roman" w:cs="Times New Roman"/>
          <w:lang w:val="en-US"/>
        </w:rPr>
        <w:t>The Cost Sharing Proposal contributes to and does not in any way hinder the achievement of the objectives of Article 3 of the CACM Regulation. In particular this Cost Sharing Proposal:</w:t>
      </w:r>
      <w:r w:rsidRPr="002A5A44">
        <w:rPr>
          <w:rFonts w:ascii="Times New Roman" w:eastAsia="Times New Roman" w:hAnsi="Times New Roman" w:cs="Times New Roman"/>
          <w:color w:val="000000"/>
          <w:sz w:val="24"/>
          <w:szCs w:val="24"/>
          <w:lang w:val="el-GR"/>
        </w:rPr>
        <w:t xml:space="preserve"> </w:t>
      </w:r>
    </w:p>
    <w:p w14:paraId="0907D2D2" w14:textId="77777777" w:rsidR="002A5A44" w:rsidRPr="002A5A44" w:rsidRDefault="002A5A44" w:rsidP="002A5A44">
      <w:pPr>
        <w:widowControl w:val="0"/>
        <w:tabs>
          <w:tab w:val="left" w:pos="1115"/>
        </w:tabs>
        <w:spacing w:before="131" w:line="259" w:lineRule="auto"/>
        <w:ind w:left="1114" w:right="509"/>
        <w:jc w:val="both"/>
        <w:rPr>
          <w:rFonts w:ascii="Times New Roman" w:eastAsia="Times New Roman" w:hAnsi="Times New Roman" w:cs="Times New Roman"/>
          <w:lang w:val="en-US"/>
        </w:rPr>
      </w:pPr>
      <w:r w:rsidRPr="002A5A44">
        <w:rPr>
          <w:rFonts w:ascii="Times New Roman" w:eastAsia="Times New Roman" w:hAnsi="Times New Roman" w:cs="Times New Roman"/>
          <w:lang w:val="en-US"/>
        </w:rPr>
        <w:t xml:space="preserve">a. Establishes a common process for the </w:t>
      </w:r>
      <w:proofErr w:type="spellStart"/>
      <w:r w:rsidRPr="002A5A44">
        <w:rPr>
          <w:rFonts w:ascii="Times New Roman" w:eastAsia="Times New Roman" w:hAnsi="Times New Roman" w:cs="Times New Roman"/>
          <w:lang w:val="en-US"/>
        </w:rPr>
        <w:t>Redispatching</w:t>
      </w:r>
      <w:proofErr w:type="spellEnd"/>
      <w:r w:rsidRPr="002A5A44">
        <w:rPr>
          <w:rFonts w:ascii="Times New Roman" w:eastAsia="Times New Roman" w:hAnsi="Times New Roman" w:cs="Times New Roman"/>
          <w:lang w:val="en-US"/>
        </w:rPr>
        <w:t xml:space="preserve"> and Countertrading cost sharing by defining a set of </w:t>
      </w:r>
      <w:proofErr w:type="spellStart"/>
      <w:r w:rsidRPr="002A5A44">
        <w:rPr>
          <w:rFonts w:ascii="Times New Roman" w:eastAsia="Times New Roman" w:hAnsi="Times New Roman" w:cs="Times New Roman"/>
          <w:lang w:val="en-US"/>
        </w:rPr>
        <w:t>harmonised</w:t>
      </w:r>
      <w:proofErr w:type="spellEnd"/>
      <w:r w:rsidRPr="002A5A44">
        <w:rPr>
          <w:rFonts w:ascii="Times New Roman" w:eastAsia="Times New Roman" w:hAnsi="Times New Roman" w:cs="Times New Roman"/>
          <w:lang w:val="en-US"/>
        </w:rPr>
        <w:t xml:space="preserve"> rules for congestion management and as such serves the objective of promoting effective competition in the generation, trading and supply of electricity in accordance with Article 3(a) of the CACM Regulation; </w:t>
      </w:r>
    </w:p>
    <w:p w14:paraId="0C2F6B47" w14:textId="77777777" w:rsidR="002A5A44" w:rsidRPr="002A5A44" w:rsidRDefault="002A5A44" w:rsidP="002A5A44">
      <w:pPr>
        <w:widowControl w:val="0"/>
        <w:tabs>
          <w:tab w:val="left" w:pos="1115"/>
        </w:tabs>
        <w:spacing w:before="131" w:line="259" w:lineRule="auto"/>
        <w:ind w:left="1114" w:right="509"/>
        <w:jc w:val="both"/>
        <w:rPr>
          <w:rFonts w:ascii="Times New Roman" w:eastAsia="Times New Roman" w:hAnsi="Times New Roman" w:cs="Times New Roman"/>
          <w:lang w:val="en-US"/>
        </w:rPr>
      </w:pPr>
      <w:r w:rsidRPr="002A5A44">
        <w:rPr>
          <w:rFonts w:ascii="Times New Roman" w:eastAsia="Times New Roman" w:hAnsi="Times New Roman" w:cs="Times New Roman"/>
          <w:lang w:val="en-US"/>
        </w:rPr>
        <w:t xml:space="preserve">b. Contributes to the objective of ensuring optimal use of the transmission infrastructure in accordance with Article 3 (b) of the CACM Regulation by using last available inputs based on the best possible forecast of transmission systems and market results at the time of each security analysis, updated in a timely manner, for the detection of Coordinated </w:t>
      </w:r>
      <w:proofErr w:type="spellStart"/>
      <w:r w:rsidRPr="002A5A44">
        <w:rPr>
          <w:rFonts w:ascii="Times New Roman" w:eastAsia="Times New Roman" w:hAnsi="Times New Roman" w:cs="Times New Roman"/>
          <w:lang w:val="en-US"/>
        </w:rPr>
        <w:t>Redispatching</w:t>
      </w:r>
      <w:proofErr w:type="spellEnd"/>
      <w:r w:rsidRPr="002A5A44">
        <w:rPr>
          <w:rFonts w:ascii="Times New Roman" w:eastAsia="Times New Roman" w:hAnsi="Times New Roman" w:cs="Times New Roman"/>
          <w:lang w:val="en-US"/>
        </w:rPr>
        <w:t xml:space="preserve"> and Countertrading needs </w:t>
      </w:r>
    </w:p>
    <w:p w14:paraId="123343FC" w14:textId="77777777" w:rsidR="002A5A44" w:rsidRPr="002A5A44" w:rsidRDefault="002A5A44" w:rsidP="002A5A44">
      <w:pPr>
        <w:widowControl w:val="0"/>
        <w:tabs>
          <w:tab w:val="left" w:pos="1115"/>
        </w:tabs>
        <w:spacing w:before="131" w:line="259" w:lineRule="auto"/>
        <w:ind w:left="1114" w:right="509"/>
        <w:jc w:val="both"/>
        <w:rPr>
          <w:rFonts w:ascii="Times New Roman" w:eastAsia="Times New Roman" w:hAnsi="Times New Roman" w:cs="Times New Roman"/>
          <w:lang w:val="en-US"/>
        </w:rPr>
      </w:pPr>
      <w:r w:rsidRPr="002A5A44">
        <w:rPr>
          <w:rFonts w:ascii="Times New Roman" w:eastAsia="Times New Roman" w:hAnsi="Times New Roman" w:cs="Times New Roman"/>
          <w:lang w:val="en-US"/>
        </w:rPr>
        <w:lastRenderedPageBreak/>
        <w:t xml:space="preserve">c. Contributes to the objective of ensuring and enhancing the transparency and reliability of information in accordance with Article 3 (f) of CACM Regulation by providing mechanism to verify the needs, monitor, assess the impact and allow improvement of Countertrading in the SEE CCR Region (Article 74 (5) of CACM Regulation). </w:t>
      </w:r>
    </w:p>
    <w:p w14:paraId="53C3CF12" w14:textId="19002C84" w:rsidR="002A5A44" w:rsidRPr="002A5A44" w:rsidRDefault="002A5A44" w:rsidP="002A5A44">
      <w:pPr>
        <w:widowControl w:val="0"/>
        <w:tabs>
          <w:tab w:val="left" w:pos="1115"/>
        </w:tabs>
        <w:spacing w:before="131" w:line="259" w:lineRule="auto"/>
        <w:ind w:left="1114" w:right="509"/>
        <w:jc w:val="both"/>
        <w:rPr>
          <w:rFonts w:ascii="Times New Roman" w:eastAsia="Times New Roman" w:hAnsi="Times New Roman" w:cs="Times New Roman"/>
          <w:lang w:val="en-US"/>
        </w:rPr>
      </w:pPr>
      <w:r w:rsidRPr="00EC6855">
        <w:rPr>
          <w:rFonts w:ascii="Times New Roman" w:eastAsia="Times New Roman" w:hAnsi="Times New Roman" w:cs="Times New Roman"/>
          <w:lang w:val="en-US"/>
        </w:rPr>
        <w:t>d. Contributes to the objective of respecting the need for a fair and orderly market and price formation by developing rules within this methodology that ensure a fair distribution of costs and benefits between the involved TSOs.</w:t>
      </w:r>
      <w:r w:rsidRPr="002A5A44">
        <w:rPr>
          <w:rFonts w:ascii="Times New Roman" w:eastAsia="Times New Roman" w:hAnsi="Times New Roman" w:cs="Times New Roman"/>
          <w:lang w:val="en-US"/>
        </w:rPr>
        <w:t xml:space="preserve"> </w:t>
      </w:r>
    </w:p>
    <w:p w14:paraId="19EBCC0B" w14:textId="77777777" w:rsidR="002A5A44" w:rsidRPr="002A5A44" w:rsidRDefault="002A5A44" w:rsidP="002A5A44">
      <w:pPr>
        <w:widowControl w:val="0"/>
        <w:numPr>
          <w:ilvl w:val="0"/>
          <w:numId w:val="57"/>
        </w:numPr>
        <w:tabs>
          <w:tab w:val="left" w:pos="1115"/>
        </w:tabs>
        <w:spacing w:before="131" w:line="259" w:lineRule="auto"/>
        <w:ind w:right="509"/>
        <w:jc w:val="both"/>
        <w:rPr>
          <w:rFonts w:ascii="Times New Roman" w:eastAsia="Times New Roman" w:hAnsi="Times New Roman" w:cs="Times New Roman"/>
          <w:lang w:val="en-US"/>
        </w:rPr>
      </w:pPr>
      <w:r w:rsidRPr="002A5A44">
        <w:rPr>
          <w:rFonts w:ascii="Times New Roman" w:eastAsia="Times New Roman" w:hAnsi="Times New Roman" w:cs="Times New Roman"/>
          <w:lang w:val="en-US"/>
        </w:rPr>
        <w:t xml:space="preserve">According to Article 74 (4) of CACM Regulation, the </w:t>
      </w:r>
      <w:proofErr w:type="spellStart"/>
      <w:r w:rsidRPr="002A5A44">
        <w:rPr>
          <w:rFonts w:ascii="Times New Roman" w:eastAsia="Times New Roman" w:hAnsi="Times New Roman" w:cs="Times New Roman"/>
          <w:lang w:val="en-US"/>
        </w:rPr>
        <w:t>redispatching</w:t>
      </w:r>
      <w:proofErr w:type="spellEnd"/>
      <w:r w:rsidRPr="002A5A44">
        <w:rPr>
          <w:rFonts w:ascii="Times New Roman" w:eastAsia="Times New Roman" w:hAnsi="Times New Roman" w:cs="Times New Roman"/>
          <w:lang w:val="en-US"/>
        </w:rPr>
        <w:t xml:space="preserve"> and countertrading cost sharing methodology shall at least:</w:t>
      </w:r>
      <w:r w:rsidRPr="002A5A44">
        <w:rPr>
          <w:rFonts w:ascii="Times New Roman" w:eastAsia="Times New Roman" w:hAnsi="Times New Roman" w:cs="Times New Roman"/>
          <w:color w:val="000000"/>
          <w:sz w:val="24"/>
          <w:szCs w:val="24"/>
          <w:lang w:val="en-US"/>
        </w:rPr>
        <w:t xml:space="preserve"> </w:t>
      </w:r>
    </w:p>
    <w:p w14:paraId="3713548F" w14:textId="463678A0" w:rsidR="002A5A44" w:rsidRPr="002A5A44" w:rsidRDefault="002A5A44" w:rsidP="007F7394">
      <w:pPr>
        <w:widowControl w:val="0"/>
        <w:tabs>
          <w:tab w:val="left" w:pos="1115"/>
        </w:tabs>
        <w:spacing w:before="131" w:line="259" w:lineRule="auto"/>
        <w:ind w:left="1114" w:right="509"/>
        <w:jc w:val="both"/>
        <w:rPr>
          <w:rFonts w:ascii="Times New Roman" w:eastAsia="Times New Roman" w:hAnsi="Times New Roman" w:cs="Times New Roman"/>
          <w:lang w:val="en-US"/>
        </w:rPr>
      </w:pPr>
      <w:r w:rsidRPr="002A5A44">
        <w:rPr>
          <w:rFonts w:ascii="Times New Roman" w:eastAsia="Times New Roman" w:hAnsi="Times New Roman" w:cs="Times New Roman"/>
          <w:lang w:val="en-US"/>
        </w:rPr>
        <w:t xml:space="preserve">a. determine which costs incurred from using remedial actions are eligible for sharing between the TSOs in accordance with the capacity calculation methodology set out in Articles 20 and 21 of CACM Regulation. </w:t>
      </w:r>
      <w:r w:rsidRPr="001B00F5">
        <w:rPr>
          <w:rFonts w:ascii="Times New Roman" w:eastAsia="Times New Roman" w:hAnsi="Times New Roman" w:cs="Times New Roman"/>
          <w:lang w:val="en-US"/>
        </w:rPr>
        <w:t>This Cost Sharing Proposal provides this information in Article</w:t>
      </w:r>
      <w:r w:rsidR="001B00F5" w:rsidRPr="001B00F5">
        <w:rPr>
          <w:rFonts w:ascii="Times New Roman" w:eastAsia="Times New Roman" w:hAnsi="Times New Roman" w:cs="Times New Roman"/>
          <w:lang w:val="en-US"/>
        </w:rPr>
        <w:t xml:space="preserve"> </w:t>
      </w:r>
      <w:proofErr w:type="gramStart"/>
      <w:r w:rsidR="001B00F5" w:rsidRPr="001B00F5">
        <w:rPr>
          <w:rFonts w:ascii="Times New Roman" w:eastAsia="Times New Roman" w:hAnsi="Times New Roman" w:cs="Times New Roman"/>
          <w:lang w:val="en-US"/>
        </w:rPr>
        <w:t>3</w:t>
      </w:r>
      <w:r w:rsidRPr="001B00F5">
        <w:rPr>
          <w:rFonts w:ascii="Times New Roman" w:eastAsia="Times New Roman" w:hAnsi="Times New Roman" w:cs="Times New Roman"/>
          <w:lang w:val="en-US"/>
        </w:rPr>
        <w:t xml:space="preserve"> .</w:t>
      </w:r>
      <w:proofErr w:type="gramEnd"/>
      <w:r w:rsidRPr="002A5A44">
        <w:rPr>
          <w:rFonts w:ascii="Times New Roman" w:eastAsia="Times New Roman" w:hAnsi="Times New Roman" w:cs="Times New Roman"/>
          <w:lang w:val="en-US"/>
        </w:rPr>
        <w:t xml:space="preserve"> </w:t>
      </w:r>
    </w:p>
    <w:p w14:paraId="3899C140" w14:textId="32BE70C3" w:rsidR="002A5A44" w:rsidRPr="002A5A44" w:rsidRDefault="002A5A44" w:rsidP="007F7394">
      <w:pPr>
        <w:widowControl w:val="0"/>
        <w:tabs>
          <w:tab w:val="left" w:pos="1115"/>
        </w:tabs>
        <w:spacing w:before="131" w:line="259" w:lineRule="auto"/>
        <w:ind w:left="1114" w:right="509"/>
        <w:jc w:val="both"/>
        <w:rPr>
          <w:rFonts w:ascii="Times New Roman" w:eastAsia="Times New Roman" w:hAnsi="Times New Roman" w:cs="Times New Roman"/>
          <w:lang w:val="en-US"/>
        </w:rPr>
      </w:pPr>
      <w:r w:rsidRPr="003F3674">
        <w:rPr>
          <w:rFonts w:ascii="Times New Roman" w:eastAsia="Times New Roman" w:hAnsi="Times New Roman" w:cs="Times New Roman"/>
          <w:lang w:val="en-US"/>
        </w:rPr>
        <w:t xml:space="preserve">b. define which costs incurred from using </w:t>
      </w:r>
      <w:proofErr w:type="spellStart"/>
      <w:r w:rsidRPr="003F3674">
        <w:rPr>
          <w:rFonts w:ascii="Times New Roman" w:eastAsia="Times New Roman" w:hAnsi="Times New Roman" w:cs="Times New Roman"/>
          <w:lang w:val="en-US"/>
        </w:rPr>
        <w:t>redispatching</w:t>
      </w:r>
      <w:proofErr w:type="spellEnd"/>
      <w:r w:rsidRPr="003F3674">
        <w:rPr>
          <w:rFonts w:ascii="Times New Roman" w:eastAsia="Times New Roman" w:hAnsi="Times New Roman" w:cs="Times New Roman"/>
          <w:lang w:val="en-US"/>
        </w:rPr>
        <w:t xml:space="preserve"> or countertrading to guarantee the firmness of cross-zonal capacity are eligible for sharing between the TSOs. This Cost Sharing Proposal provides this information in </w:t>
      </w:r>
      <w:proofErr w:type="gramStart"/>
      <w:r w:rsidRPr="003F3674">
        <w:rPr>
          <w:rFonts w:ascii="Times New Roman" w:eastAsia="Times New Roman" w:hAnsi="Times New Roman" w:cs="Times New Roman"/>
          <w:lang w:val="en-US"/>
        </w:rPr>
        <w:t xml:space="preserve">Articles  </w:t>
      </w:r>
      <w:r w:rsidR="003F3674">
        <w:rPr>
          <w:rFonts w:ascii="Times New Roman" w:eastAsia="Times New Roman" w:hAnsi="Times New Roman" w:cs="Times New Roman"/>
          <w:lang w:val="en-US"/>
        </w:rPr>
        <w:t>5</w:t>
      </w:r>
      <w:proofErr w:type="gramEnd"/>
      <w:r w:rsidR="003F3674" w:rsidRPr="003F3674">
        <w:rPr>
          <w:rFonts w:ascii="Times New Roman" w:eastAsia="Times New Roman" w:hAnsi="Times New Roman" w:cs="Times New Roman"/>
          <w:lang w:val="en-US"/>
        </w:rPr>
        <w:t xml:space="preserve"> </w:t>
      </w:r>
      <w:r w:rsidRPr="003F3674">
        <w:rPr>
          <w:rFonts w:ascii="Times New Roman" w:eastAsia="Times New Roman" w:hAnsi="Times New Roman" w:cs="Times New Roman"/>
          <w:lang w:val="en-US"/>
        </w:rPr>
        <w:t xml:space="preserve">and </w:t>
      </w:r>
      <w:r w:rsidR="003F3674">
        <w:rPr>
          <w:rFonts w:ascii="Times New Roman" w:eastAsia="Times New Roman" w:hAnsi="Times New Roman" w:cs="Times New Roman"/>
          <w:lang w:val="en-US"/>
        </w:rPr>
        <w:t>6</w:t>
      </w:r>
      <w:r w:rsidRPr="003F3674">
        <w:rPr>
          <w:rFonts w:ascii="Times New Roman" w:eastAsia="Times New Roman" w:hAnsi="Times New Roman" w:cs="Times New Roman"/>
          <w:lang w:val="en-US"/>
        </w:rPr>
        <w:t>.</w:t>
      </w:r>
      <w:r w:rsidRPr="002A5A44">
        <w:rPr>
          <w:rFonts w:ascii="Times New Roman" w:eastAsia="Times New Roman" w:hAnsi="Times New Roman" w:cs="Times New Roman"/>
          <w:lang w:val="en-US"/>
        </w:rPr>
        <w:t xml:space="preserve"> </w:t>
      </w:r>
    </w:p>
    <w:p w14:paraId="396F62D2" w14:textId="77A74D75" w:rsidR="002A5A44" w:rsidRPr="002A5A44" w:rsidRDefault="002A5A44" w:rsidP="0030591F">
      <w:pPr>
        <w:widowControl w:val="0"/>
        <w:tabs>
          <w:tab w:val="left" w:pos="1115"/>
        </w:tabs>
        <w:spacing w:before="131" w:line="259" w:lineRule="auto"/>
        <w:ind w:left="1114" w:right="509"/>
        <w:jc w:val="both"/>
        <w:rPr>
          <w:rFonts w:ascii="Times New Roman" w:eastAsia="Times New Roman" w:hAnsi="Times New Roman" w:cs="Times New Roman"/>
          <w:lang w:val="en-US"/>
        </w:rPr>
      </w:pPr>
      <w:proofErr w:type="gramStart"/>
      <w:r w:rsidRPr="002A5A44">
        <w:rPr>
          <w:rFonts w:ascii="Times New Roman" w:eastAsia="Times New Roman" w:hAnsi="Times New Roman" w:cs="Times New Roman"/>
          <w:lang w:val="en-US"/>
        </w:rPr>
        <w:t>c</w:t>
      </w:r>
      <w:proofErr w:type="gramEnd"/>
      <w:r w:rsidRPr="002A5A44">
        <w:rPr>
          <w:rFonts w:ascii="Times New Roman" w:eastAsia="Times New Roman" w:hAnsi="Times New Roman" w:cs="Times New Roman"/>
          <w:lang w:val="en-US"/>
        </w:rPr>
        <w:t xml:space="preserve">. set rules for region-wide cost sharing. </w:t>
      </w:r>
      <w:r w:rsidRPr="001E7EA6">
        <w:rPr>
          <w:rFonts w:ascii="Times New Roman" w:eastAsia="Times New Roman" w:hAnsi="Times New Roman" w:cs="Times New Roman"/>
          <w:lang w:val="en-US"/>
        </w:rPr>
        <w:t xml:space="preserve">This Cost Sharing Proposal provides this information in Article </w:t>
      </w:r>
      <w:r w:rsidR="007557A2" w:rsidRPr="001E7EA6">
        <w:rPr>
          <w:rFonts w:ascii="Times New Roman" w:eastAsia="Times New Roman" w:hAnsi="Times New Roman" w:cs="Times New Roman"/>
          <w:lang w:val="en-US"/>
        </w:rPr>
        <w:t>11</w:t>
      </w:r>
      <w:r w:rsidRPr="001E7EA6">
        <w:rPr>
          <w:rFonts w:ascii="Times New Roman" w:eastAsia="Times New Roman" w:hAnsi="Times New Roman" w:cs="Times New Roman"/>
          <w:lang w:val="en-US"/>
        </w:rPr>
        <w:t>.</w:t>
      </w:r>
    </w:p>
    <w:p w14:paraId="012EF785" w14:textId="77777777" w:rsidR="002A5A44" w:rsidRPr="002A5A44" w:rsidRDefault="002A5A44" w:rsidP="002A5A44">
      <w:pPr>
        <w:widowControl w:val="0"/>
        <w:numPr>
          <w:ilvl w:val="0"/>
          <w:numId w:val="57"/>
        </w:numPr>
        <w:tabs>
          <w:tab w:val="left" w:pos="1115"/>
        </w:tabs>
        <w:spacing w:before="131" w:line="259" w:lineRule="auto"/>
        <w:ind w:right="509"/>
        <w:jc w:val="both"/>
        <w:rPr>
          <w:rFonts w:ascii="Times New Roman" w:eastAsia="Times New Roman" w:hAnsi="Times New Roman" w:cs="Times New Roman"/>
          <w:lang w:val="en-US"/>
        </w:rPr>
      </w:pPr>
      <w:r w:rsidRPr="002A5A44">
        <w:rPr>
          <w:rFonts w:ascii="Times New Roman" w:eastAsia="Times New Roman" w:hAnsi="Times New Roman" w:cs="Times New Roman"/>
          <w:lang w:val="en-US"/>
        </w:rPr>
        <w:t xml:space="preserve">According to Article 74 (5) of CACM Regulation, the </w:t>
      </w:r>
      <w:proofErr w:type="spellStart"/>
      <w:r w:rsidRPr="002A5A44">
        <w:rPr>
          <w:rFonts w:ascii="Times New Roman" w:eastAsia="Times New Roman" w:hAnsi="Times New Roman" w:cs="Times New Roman"/>
          <w:lang w:val="en-US"/>
        </w:rPr>
        <w:t>redispatching</w:t>
      </w:r>
      <w:proofErr w:type="spellEnd"/>
      <w:r w:rsidRPr="002A5A44">
        <w:rPr>
          <w:rFonts w:ascii="Times New Roman" w:eastAsia="Times New Roman" w:hAnsi="Times New Roman" w:cs="Times New Roman"/>
          <w:lang w:val="en-US"/>
        </w:rPr>
        <w:t xml:space="preserve"> and countertrading cost sharing methodology shall include: </w:t>
      </w:r>
    </w:p>
    <w:p w14:paraId="336E2F2B" w14:textId="4EF8AC20" w:rsidR="002A5A44" w:rsidRPr="002A5A44" w:rsidRDefault="002A5A44" w:rsidP="007F7394">
      <w:pPr>
        <w:widowControl w:val="0"/>
        <w:tabs>
          <w:tab w:val="left" w:pos="1115"/>
        </w:tabs>
        <w:spacing w:before="131" w:line="259" w:lineRule="auto"/>
        <w:ind w:left="1114" w:right="509"/>
        <w:jc w:val="both"/>
        <w:rPr>
          <w:rFonts w:ascii="Times New Roman" w:eastAsia="Times New Roman" w:hAnsi="Times New Roman" w:cs="Times New Roman"/>
          <w:lang w:val="en-US"/>
        </w:rPr>
      </w:pPr>
      <w:proofErr w:type="gramStart"/>
      <w:r w:rsidRPr="002A5A44">
        <w:rPr>
          <w:rFonts w:ascii="Times New Roman" w:eastAsia="Times New Roman" w:hAnsi="Times New Roman" w:cs="Times New Roman"/>
          <w:lang w:val="en-US"/>
        </w:rPr>
        <w:t>a</w:t>
      </w:r>
      <w:proofErr w:type="gramEnd"/>
      <w:r w:rsidRPr="002A5A44">
        <w:rPr>
          <w:rFonts w:ascii="Times New Roman" w:eastAsia="Times New Roman" w:hAnsi="Times New Roman" w:cs="Times New Roman"/>
          <w:lang w:val="en-US"/>
        </w:rPr>
        <w:t xml:space="preserve">. a mechanism to verify the actual need for </w:t>
      </w:r>
      <w:proofErr w:type="spellStart"/>
      <w:r w:rsidRPr="002A5A44">
        <w:rPr>
          <w:rFonts w:ascii="Times New Roman" w:eastAsia="Times New Roman" w:hAnsi="Times New Roman" w:cs="Times New Roman"/>
          <w:lang w:val="en-US"/>
        </w:rPr>
        <w:t>redispatching</w:t>
      </w:r>
      <w:proofErr w:type="spellEnd"/>
      <w:r w:rsidRPr="002A5A44">
        <w:rPr>
          <w:rFonts w:ascii="Times New Roman" w:eastAsia="Times New Roman" w:hAnsi="Times New Roman" w:cs="Times New Roman"/>
          <w:lang w:val="en-US"/>
        </w:rPr>
        <w:t xml:space="preserve"> or countertrading between the </w:t>
      </w:r>
      <w:r w:rsidRPr="001E7EA6">
        <w:rPr>
          <w:rFonts w:ascii="Times New Roman" w:eastAsia="Times New Roman" w:hAnsi="Times New Roman" w:cs="Times New Roman"/>
          <w:lang w:val="en-US"/>
        </w:rPr>
        <w:t xml:space="preserve">TSOs. This Cost Sharing Proposal provides this element in </w:t>
      </w:r>
      <w:proofErr w:type="gramStart"/>
      <w:r w:rsidRPr="001E7EA6">
        <w:rPr>
          <w:rFonts w:ascii="Times New Roman" w:eastAsia="Times New Roman" w:hAnsi="Times New Roman" w:cs="Times New Roman"/>
          <w:lang w:val="en-US"/>
        </w:rPr>
        <w:t xml:space="preserve">Articles  </w:t>
      </w:r>
      <w:r w:rsidR="001E7EA6" w:rsidRPr="001E7EA6">
        <w:rPr>
          <w:rFonts w:ascii="Times New Roman" w:eastAsia="Times New Roman" w:hAnsi="Times New Roman" w:cs="Times New Roman"/>
          <w:lang w:val="en-US"/>
        </w:rPr>
        <w:t>11</w:t>
      </w:r>
      <w:proofErr w:type="gramEnd"/>
      <w:r w:rsidR="001E7EA6" w:rsidRPr="001E7EA6">
        <w:rPr>
          <w:rFonts w:ascii="Times New Roman" w:eastAsia="Times New Roman" w:hAnsi="Times New Roman" w:cs="Times New Roman"/>
          <w:lang w:val="en-US"/>
        </w:rPr>
        <w:t xml:space="preserve"> </w:t>
      </w:r>
      <w:r w:rsidRPr="001E7EA6">
        <w:rPr>
          <w:rFonts w:ascii="Times New Roman" w:eastAsia="Times New Roman" w:hAnsi="Times New Roman" w:cs="Times New Roman"/>
          <w:lang w:val="en-US"/>
        </w:rPr>
        <w:t xml:space="preserve">and </w:t>
      </w:r>
      <w:r w:rsidR="001E7EA6" w:rsidRPr="001E7EA6">
        <w:rPr>
          <w:rFonts w:ascii="Times New Roman" w:eastAsia="Times New Roman" w:hAnsi="Times New Roman" w:cs="Times New Roman"/>
          <w:lang w:val="en-US"/>
        </w:rPr>
        <w:t>13</w:t>
      </w:r>
      <w:r w:rsidRPr="001E7EA6">
        <w:rPr>
          <w:rFonts w:ascii="Times New Roman" w:eastAsia="Times New Roman" w:hAnsi="Times New Roman" w:cs="Times New Roman"/>
          <w:lang w:val="en-US"/>
        </w:rPr>
        <w:t>.</w:t>
      </w:r>
      <w:r w:rsidRPr="002A5A44">
        <w:rPr>
          <w:rFonts w:ascii="Times New Roman" w:eastAsia="Times New Roman" w:hAnsi="Times New Roman" w:cs="Times New Roman"/>
          <w:lang w:val="en-US"/>
        </w:rPr>
        <w:t xml:space="preserve"> </w:t>
      </w:r>
    </w:p>
    <w:p w14:paraId="167D61E0" w14:textId="34F025D0" w:rsidR="002A5A44" w:rsidRPr="002A5A44" w:rsidRDefault="002A5A44" w:rsidP="007F7394">
      <w:pPr>
        <w:widowControl w:val="0"/>
        <w:tabs>
          <w:tab w:val="left" w:pos="1115"/>
        </w:tabs>
        <w:spacing w:before="131" w:line="259" w:lineRule="auto"/>
        <w:ind w:left="1114" w:right="509"/>
        <w:jc w:val="both"/>
        <w:rPr>
          <w:rFonts w:ascii="Times New Roman" w:eastAsia="Times New Roman" w:hAnsi="Times New Roman" w:cs="Times New Roman"/>
          <w:lang w:val="en-US"/>
        </w:rPr>
      </w:pPr>
      <w:proofErr w:type="gramStart"/>
      <w:r w:rsidRPr="002A5A44">
        <w:rPr>
          <w:rFonts w:ascii="Times New Roman" w:eastAsia="Times New Roman" w:hAnsi="Times New Roman" w:cs="Times New Roman"/>
          <w:lang w:val="en-US"/>
        </w:rPr>
        <w:t>b</w:t>
      </w:r>
      <w:proofErr w:type="gramEnd"/>
      <w:r w:rsidRPr="002A5A44">
        <w:rPr>
          <w:rFonts w:ascii="Times New Roman" w:eastAsia="Times New Roman" w:hAnsi="Times New Roman" w:cs="Times New Roman"/>
          <w:lang w:val="en-US"/>
        </w:rPr>
        <w:t xml:space="preserve">. an ex post mechanism to monitor the use of remedial actions with costs. This Cost Sharing </w:t>
      </w:r>
      <w:r w:rsidRPr="001E7EA6">
        <w:rPr>
          <w:rFonts w:ascii="Times New Roman" w:eastAsia="Times New Roman" w:hAnsi="Times New Roman" w:cs="Times New Roman"/>
          <w:lang w:val="en-US"/>
        </w:rPr>
        <w:t xml:space="preserve">Proposal provides this element in Articles </w:t>
      </w:r>
      <w:r w:rsidR="001E7EA6" w:rsidRPr="001E7EA6">
        <w:rPr>
          <w:rFonts w:ascii="Times New Roman" w:eastAsia="Times New Roman" w:hAnsi="Times New Roman" w:cs="Times New Roman"/>
          <w:lang w:val="en-US"/>
        </w:rPr>
        <w:t>10</w:t>
      </w:r>
      <w:r w:rsidRPr="001E7EA6">
        <w:rPr>
          <w:rFonts w:ascii="Times New Roman" w:eastAsia="Times New Roman" w:hAnsi="Times New Roman" w:cs="Times New Roman"/>
          <w:lang w:val="en-US"/>
        </w:rPr>
        <w:t xml:space="preserve"> and </w:t>
      </w:r>
      <w:r w:rsidR="001E7EA6" w:rsidRPr="001E7EA6">
        <w:rPr>
          <w:rFonts w:ascii="Times New Roman" w:eastAsia="Times New Roman" w:hAnsi="Times New Roman" w:cs="Times New Roman"/>
          <w:lang w:val="en-US"/>
        </w:rPr>
        <w:t>11</w:t>
      </w:r>
      <w:r w:rsidRPr="001E7EA6">
        <w:rPr>
          <w:rFonts w:ascii="Times New Roman" w:eastAsia="Times New Roman" w:hAnsi="Times New Roman" w:cs="Times New Roman"/>
          <w:lang w:val="en-US"/>
        </w:rPr>
        <w:t>.</w:t>
      </w:r>
      <w:r w:rsidRPr="002A5A44">
        <w:rPr>
          <w:rFonts w:ascii="Times New Roman" w:eastAsia="Times New Roman" w:hAnsi="Times New Roman" w:cs="Times New Roman"/>
          <w:lang w:val="en-US"/>
        </w:rPr>
        <w:t xml:space="preserve"> </w:t>
      </w:r>
    </w:p>
    <w:p w14:paraId="728B19A2" w14:textId="7BE75C66" w:rsidR="002A5A44" w:rsidRPr="002A5A44" w:rsidRDefault="002A5A44" w:rsidP="007F7394">
      <w:pPr>
        <w:widowControl w:val="0"/>
        <w:tabs>
          <w:tab w:val="left" w:pos="1115"/>
        </w:tabs>
        <w:spacing w:before="131" w:line="259" w:lineRule="auto"/>
        <w:ind w:left="1114" w:right="509"/>
        <w:jc w:val="both"/>
        <w:rPr>
          <w:rFonts w:ascii="Times New Roman" w:eastAsia="Times New Roman" w:hAnsi="Times New Roman" w:cs="Times New Roman"/>
          <w:lang w:val="en-US"/>
        </w:rPr>
      </w:pPr>
      <w:proofErr w:type="gramStart"/>
      <w:r w:rsidRPr="00E079EB">
        <w:rPr>
          <w:rFonts w:ascii="Times New Roman" w:eastAsia="Times New Roman" w:hAnsi="Times New Roman" w:cs="Times New Roman"/>
          <w:lang w:val="en-US"/>
        </w:rPr>
        <w:t>c</w:t>
      </w:r>
      <w:proofErr w:type="gramEnd"/>
      <w:r w:rsidRPr="00E079EB">
        <w:rPr>
          <w:rFonts w:ascii="Times New Roman" w:eastAsia="Times New Roman" w:hAnsi="Times New Roman" w:cs="Times New Roman"/>
          <w:lang w:val="en-US"/>
        </w:rPr>
        <w:t xml:space="preserve">. a mechanism to assess the impact of the remedial actions, based on operational security and economic criteria. This Cost Sharing Proposal provides this element in </w:t>
      </w:r>
      <w:proofErr w:type="gramStart"/>
      <w:r w:rsidRPr="00E079EB">
        <w:rPr>
          <w:rFonts w:ascii="Times New Roman" w:eastAsia="Times New Roman" w:hAnsi="Times New Roman" w:cs="Times New Roman"/>
          <w:lang w:val="en-US"/>
        </w:rPr>
        <w:t xml:space="preserve">Articles  </w:t>
      </w:r>
      <w:r w:rsidR="00E079EB" w:rsidRPr="00E079EB">
        <w:rPr>
          <w:rFonts w:ascii="Times New Roman" w:eastAsia="Times New Roman" w:hAnsi="Times New Roman" w:cs="Times New Roman"/>
          <w:lang w:val="en-US"/>
        </w:rPr>
        <w:t>11</w:t>
      </w:r>
      <w:proofErr w:type="gramEnd"/>
      <w:r w:rsidR="00E079EB" w:rsidRPr="00E079EB">
        <w:rPr>
          <w:rFonts w:ascii="Times New Roman" w:eastAsia="Times New Roman" w:hAnsi="Times New Roman" w:cs="Times New Roman"/>
          <w:lang w:val="en-US"/>
        </w:rPr>
        <w:t xml:space="preserve"> </w:t>
      </w:r>
      <w:r w:rsidRPr="00E079EB">
        <w:rPr>
          <w:rFonts w:ascii="Times New Roman" w:eastAsia="Times New Roman" w:hAnsi="Times New Roman" w:cs="Times New Roman"/>
          <w:lang w:val="en-US"/>
        </w:rPr>
        <w:t xml:space="preserve">and </w:t>
      </w:r>
      <w:r w:rsidR="00E079EB" w:rsidRPr="00E079EB">
        <w:rPr>
          <w:rFonts w:ascii="Times New Roman" w:eastAsia="Times New Roman" w:hAnsi="Times New Roman" w:cs="Times New Roman"/>
          <w:lang w:val="en-US"/>
        </w:rPr>
        <w:t>13</w:t>
      </w:r>
      <w:r w:rsidRPr="00E079EB">
        <w:rPr>
          <w:rFonts w:ascii="Times New Roman" w:eastAsia="Times New Roman" w:hAnsi="Times New Roman" w:cs="Times New Roman"/>
          <w:lang w:val="en-US"/>
        </w:rPr>
        <w:t>.</w:t>
      </w:r>
      <w:r w:rsidRPr="002A5A44">
        <w:rPr>
          <w:rFonts w:ascii="Times New Roman" w:eastAsia="Times New Roman" w:hAnsi="Times New Roman" w:cs="Times New Roman"/>
          <w:lang w:val="en-US"/>
        </w:rPr>
        <w:t xml:space="preserve"> </w:t>
      </w:r>
    </w:p>
    <w:p w14:paraId="47D7F685" w14:textId="75D0ABF7" w:rsidR="002A5A44" w:rsidRPr="002A5A44" w:rsidRDefault="002A5A44" w:rsidP="007F7394">
      <w:pPr>
        <w:widowControl w:val="0"/>
        <w:tabs>
          <w:tab w:val="left" w:pos="1115"/>
        </w:tabs>
        <w:spacing w:before="131" w:line="259" w:lineRule="auto"/>
        <w:ind w:left="1114" w:right="509"/>
        <w:jc w:val="both"/>
        <w:rPr>
          <w:rFonts w:ascii="Times New Roman" w:eastAsia="Times New Roman" w:hAnsi="Times New Roman" w:cs="Times New Roman"/>
          <w:lang w:val="en-US"/>
        </w:rPr>
      </w:pPr>
      <w:proofErr w:type="gramStart"/>
      <w:r w:rsidRPr="00036835">
        <w:rPr>
          <w:rFonts w:ascii="Times New Roman" w:eastAsia="Times New Roman" w:hAnsi="Times New Roman" w:cs="Times New Roman"/>
          <w:lang w:val="en-US"/>
        </w:rPr>
        <w:t>d</w:t>
      </w:r>
      <w:proofErr w:type="gramEnd"/>
      <w:r w:rsidRPr="00036835">
        <w:rPr>
          <w:rFonts w:ascii="Times New Roman" w:eastAsia="Times New Roman" w:hAnsi="Times New Roman" w:cs="Times New Roman"/>
          <w:lang w:val="en-US"/>
        </w:rPr>
        <w:t>. a process allowing improvement of the remedial actions; This Cost Sharing Proposal provides this element in Article</w:t>
      </w:r>
      <w:r w:rsidR="00036835" w:rsidRPr="00036835">
        <w:rPr>
          <w:rFonts w:ascii="Times New Roman" w:eastAsia="Times New Roman" w:hAnsi="Times New Roman" w:cs="Times New Roman"/>
          <w:lang w:val="en-US"/>
        </w:rPr>
        <w:t xml:space="preserve"> 13</w:t>
      </w:r>
      <w:r w:rsidRPr="00036835">
        <w:rPr>
          <w:rFonts w:ascii="Times New Roman" w:eastAsia="Times New Roman" w:hAnsi="Times New Roman" w:cs="Times New Roman"/>
          <w:lang w:val="en-US"/>
        </w:rPr>
        <w:t xml:space="preserve"> .</w:t>
      </w:r>
      <w:r w:rsidRPr="002A5A44">
        <w:rPr>
          <w:rFonts w:ascii="Times New Roman" w:eastAsia="Times New Roman" w:hAnsi="Times New Roman" w:cs="Times New Roman"/>
          <w:lang w:val="en-US"/>
        </w:rPr>
        <w:t xml:space="preserve"> </w:t>
      </w:r>
    </w:p>
    <w:p w14:paraId="03A1F7AD" w14:textId="685388BF" w:rsidR="0030591F" w:rsidRPr="002A5A44" w:rsidRDefault="002A5A44" w:rsidP="0030591F">
      <w:pPr>
        <w:widowControl w:val="0"/>
        <w:tabs>
          <w:tab w:val="left" w:pos="1115"/>
        </w:tabs>
        <w:spacing w:before="131" w:line="259" w:lineRule="auto"/>
        <w:ind w:left="1114" w:right="509"/>
        <w:jc w:val="both"/>
        <w:rPr>
          <w:rFonts w:ascii="Times New Roman" w:eastAsia="Times New Roman" w:hAnsi="Times New Roman" w:cs="Times New Roman"/>
          <w:lang w:val="en-US"/>
        </w:rPr>
      </w:pPr>
      <w:proofErr w:type="gramStart"/>
      <w:r w:rsidRPr="002A5A44">
        <w:rPr>
          <w:rFonts w:ascii="Times New Roman" w:eastAsia="Times New Roman" w:hAnsi="Times New Roman" w:cs="Times New Roman"/>
          <w:lang w:val="en-US"/>
        </w:rPr>
        <w:t>e</w:t>
      </w:r>
      <w:proofErr w:type="gramEnd"/>
      <w:r w:rsidRPr="002A5A44">
        <w:rPr>
          <w:rFonts w:ascii="Times New Roman" w:eastAsia="Times New Roman" w:hAnsi="Times New Roman" w:cs="Times New Roman"/>
          <w:lang w:val="en-US"/>
        </w:rPr>
        <w:t xml:space="preserve">. a process allowing monitoring of each capacity calculation region by the competent </w:t>
      </w:r>
      <w:r w:rsidRPr="00036835">
        <w:rPr>
          <w:rFonts w:ascii="Times New Roman" w:eastAsia="Times New Roman" w:hAnsi="Times New Roman" w:cs="Times New Roman"/>
          <w:lang w:val="en-US"/>
        </w:rPr>
        <w:t>regulatory authorities. This Cost Sharing Proposal provides this element in Article</w:t>
      </w:r>
      <w:r w:rsidR="00036835" w:rsidRPr="00036835">
        <w:rPr>
          <w:rFonts w:ascii="Times New Roman" w:eastAsia="Times New Roman" w:hAnsi="Times New Roman" w:cs="Times New Roman"/>
          <w:lang w:val="en-US"/>
        </w:rPr>
        <w:t xml:space="preserve"> 11</w:t>
      </w:r>
      <w:r w:rsidRPr="00036835">
        <w:rPr>
          <w:rFonts w:ascii="Times New Roman" w:eastAsia="Times New Roman" w:hAnsi="Times New Roman" w:cs="Times New Roman"/>
          <w:lang w:val="en-US"/>
        </w:rPr>
        <w:t>.</w:t>
      </w:r>
    </w:p>
    <w:p w14:paraId="4BB73EA4" w14:textId="77777777" w:rsidR="002A5A44" w:rsidRPr="002A5A44" w:rsidRDefault="002A5A44" w:rsidP="002A5A44">
      <w:pPr>
        <w:widowControl w:val="0"/>
        <w:numPr>
          <w:ilvl w:val="0"/>
          <w:numId w:val="57"/>
        </w:numPr>
        <w:tabs>
          <w:tab w:val="left" w:pos="1115"/>
        </w:tabs>
        <w:spacing w:before="131" w:line="259" w:lineRule="auto"/>
        <w:ind w:right="509"/>
        <w:jc w:val="both"/>
        <w:rPr>
          <w:rFonts w:ascii="Times New Roman" w:eastAsia="Times New Roman" w:hAnsi="Times New Roman" w:cs="Times New Roman"/>
          <w:lang w:val="en-US"/>
        </w:rPr>
      </w:pPr>
      <w:r w:rsidRPr="002A5A44">
        <w:rPr>
          <w:rFonts w:ascii="Times New Roman" w:eastAsia="Times New Roman" w:hAnsi="Times New Roman" w:cs="Times New Roman"/>
          <w:lang w:val="en-US"/>
        </w:rPr>
        <w:t xml:space="preserve">According to Article 74 (6) of CACM Regulation, the </w:t>
      </w:r>
      <w:proofErr w:type="spellStart"/>
      <w:r w:rsidRPr="002A5A44">
        <w:rPr>
          <w:rFonts w:ascii="Times New Roman" w:eastAsia="Times New Roman" w:hAnsi="Times New Roman" w:cs="Times New Roman"/>
          <w:lang w:val="en-US"/>
        </w:rPr>
        <w:t>redispatching</w:t>
      </w:r>
      <w:proofErr w:type="spellEnd"/>
      <w:r w:rsidRPr="002A5A44">
        <w:rPr>
          <w:rFonts w:ascii="Times New Roman" w:eastAsia="Times New Roman" w:hAnsi="Times New Roman" w:cs="Times New Roman"/>
          <w:lang w:val="en-US"/>
        </w:rPr>
        <w:t xml:space="preserve"> and countertrading cost sharing methodology shall also: </w:t>
      </w:r>
    </w:p>
    <w:p w14:paraId="4FEAED6C" w14:textId="77777777" w:rsidR="002A5A44" w:rsidRPr="002A5A44" w:rsidRDefault="002A5A44" w:rsidP="002A5A44">
      <w:pPr>
        <w:widowControl w:val="0"/>
        <w:tabs>
          <w:tab w:val="left" w:pos="1115"/>
        </w:tabs>
        <w:spacing w:before="131" w:line="259" w:lineRule="auto"/>
        <w:ind w:left="1114" w:right="509"/>
        <w:jc w:val="both"/>
        <w:rPr>
          <w:rFonts w:ascii="Times New Roman" w:eastAsia="Times New Roman" w:hAnsi="Times New Roman" w:cs="Times New Roman"/>
          <w:lang w:val="en-US"/>
        </w:rPr>
      </w:pPr>
      <w:proofErr w:type="gramStart"/>
      <w:r w:rsidRPr="002A5A44">
        <w:rPr>
          <w:rFonts w:ascii="Times New Roman" w:eastAsia="Times New Roman" w:hAnsi="Times New Roman" w:cs="Times New Roman"/>
          <w:lang w:val="en-US"/>
        </w:rPr>
        <w:t>a</w:t>
      </w:r>
      <w:proofErr w:type="gramEnd"/>
      <w:r w:rsidRPr="002A5A44">
        <w:rPr>
          <w:rFonts w:ascii="Times New Roman" w:eastAsia="Times New Roman" w:hAnsi="Times New Roman" w:cs="Times New Roman"/>
          <w:lang w:val="en-US"/>
        </w:rPr>
        <w:t xml:space="preserve">. provide incentives to manage congestion, including remedial actions and incentives to invest effectively. </w:t>
      </w:r>
    </w:p>
    <w:p w14:paraId="48D793A2" w14:textId="726F05A1" w:rsidR="002A5A44" w:rsidRPr="002A5A44" w:rsidRDefault="002A5A44" w:rsidP="0030591F">
      <w:pPr>
        <w:widowControl w:val="0"/>
        <w:tabs>
          <w:tab w:val="left" w:pos="1115"/>
        </w:tabs>
        <w:spacing w:before="131" w:line="259" w:lineRule="auto"/>
        <w:ind w:left="1114" w:right="509"/>
        <w:jc w:val="both"/>
        <w:rPr>
          <w:rFonts w:ascii="Times New Roman" w:eastAsia="Times New Roman" w:hAnsi="Times New Roman" w:cs="Times New Roman"/>
          <w:lang w:val="en-US"/>
        </w:rPr>
      </w:pPr>
      <w:r w:rsidRPr="002A5A44">
        <w:rPr>
          <w:rFonts w:ascii="Times New Roman" w:eastAsia="Times New Roman" w:hAnsi="Times New Roman" w:cs="Times New Roman"/>
          <w:lang w:val="en-US"/>
        </w:rPr>
        <w:t xml:space="preserve">The cost sharing arrangements defined in this Cost Sharing Proposal ensure a fair distribution of costs between the TSOs, thus facilitating the use of countertrading and </w:t>
      </w:r>
      <w:proofErr w:type="spellStart"/>
      <w:r w:rsidRPr="002A5A44">
        <w:rPr>
          <w:rFonts w:ascii="Times New Roman" w:eastAsia="Times New Roman" w:hAnsi="Times New Roman" w:cs="Times New Roman"/>
          <w:lang w:val="en-US"/>
        </w:rPr>
        <w:t>redispatching</w:t>
      </w:r>
      <w:proofErr w:type="spellEnd"/>
      <w:r w:rsidRPr="002A5A44">
        <w:rPr>
          <w:rFonts w:ascii="Times New Roman" w:eastAsia="Times New Roman" w:hAnsi="Times New Roman" w:cs="Times New Roman"/>
          <w:lang w:val="en-US"/>
        </w:rPr>
        <w:t xml:space="preserve"> measures, among other available measures, in order to manage the congestions. </w:t>
      </w:r>
    </w:p>
    <w:p w14:paraId="11478479" w14:textId="687A15B7" w:rsidR="002A5A44" w:rsidRPr="002A5A44" w:rsidRDefault="002A5A44" w:rsidP="002A5A44">
      <w:pPr>
        <w:widowControl w:val="0"/>
        <w:tabs>
          <w:tab w:val="left" w:pos="1115"/>
        </w:tabs>
        <w:spacing w:before="131" w:line="259" w:lineRule="auto"/>
        <w:ind w:left="1114" w:right="509" w:hanging="428"/>
        <w:jc w:val="both"/>
        <w:rPr>
          <w:rFonts w:ascii="Times New Roman" w:eastAsia="Times New Roman" w:hAnsi="Times New Roman" w:cs="Times New Roman"/>
          <w:lang w:val="en-US"/>
        </w:rPr>
      </w:pPr>
      <w:r w:rsidRPr="002A5A44">
        <w:rPr>
          <w:rFonts w:ascii="Times New Roman" w:eastAsia="Times New Roman" w:hAnsi="Times New Roman" w:cs="Times New Roman"/>
          <w:lang w:val="en-US"/>
        </w:rPr>
        <w:t xml:space="preserve">       </w:t>
      </w:r>
      <w:proofErr w:type="gramStart"/>
      <w:r w:rsidRPr="002A5A44">
        <w:rPr>
          <w:rFonts w:ascii="Times New Roman" w:eastAsia="Times New Roman" w:hAnsi="Times New Roman" w:cs="Times New Roman"/>
          <w:lang w:val="en-US"/>
        </w:rPr>
        <w:t>b</w:t>
      </w:r>
      <w:proofErr w:type="gramEnd"/>
      <w:r w:rsidRPr="002A5A44">
        <w:rPr>
          <w:rFonts w:ascii="Times New Roman" w:eastAsia="Times New Roman" w:hAnsi="Times New Roman" w:cs="Times New Roman"/>
          <w:lang w:val="en-US"/>
        </w:rPr>
        <w:t>. be consistent with the responsibilities and liabilities of the TSOs</w:t>
      </w:r>
      <w:r w:rsidR="00246BE4">
        <w:rPr>
          <w:rFonts w:ascii="Times New Roman" w:eastAsia="Times New Roman" w:hAnsi="Times New Roman" w:cs="Times New Roman"/>
          <w:lang w:val="en-US"/>
        </w:rPr>
        <w:t xml:space="preserve"> and </w:t>
      </w:r>
      <w:r w:rsidR="00246BE4" w:rsidRPr="002A5A44">
        <w:rPr>
          <w:rFonts w:ascii="Times New Roman" w:eastAsia="Times New Roman" w:hAnsi="Times New Roman" w:cs="Times New Roman"/>
          <w:lang w:val="en-US"/>
        </w:rPr>
        <w:t>ensure a fair distribution of costs and benefits between the TSOs.</w:t>
      </w:r>
    </w:p>
    <w:p w14:paraId="65D972D8" w14:textId="3310C695" w:rsidR="002A5A44" w:rsidRPr="002A5A44" w:rsidRDefault="0030591F" w:rsidP="006B6D11">
      <w:pPr>
        <w:widowControl w:val="0"/>
        <w:tabs>
          <w:tab w:val="left" w:pos="1115"/>
        </w:tabs>
        <w:spacing w:before="131" w:line="259" w:lineRule="auto"/>
        <w:ind w:right="509"/>
        <w:jc w:val="both"/>
        <w:rPr>
          <w:rFonts w:ascii="Times New Roman" w:eastAsia="Times New Roman" w:hAnsi="Times New Roman" w:cs="Times New Roman"/>
          <w:lang w:val="en-US"/>
        </w:rPr>
      </w:pPr>
      <w:r>
        <w:rPr>
          <w:rFonts w:ascii="Times New Roman" w:eastAsia="Times New Roman" w:hAnsi="Times New Roman" w:cs="Times New Roman"/>
          <w:lang w:val="en-US"/>
        </w:rPr>
        <w:lastRenderedPageBreak/>
        <w:tab/>
      </w:r>
      <w:r w:rsidR="002A5A44" w:rsidRPr="002A5A44">
        <w:rPr>
          <w:rFonts w:ascii="Times New Roman" w:eastAsia="Times New Roman" w:hAnsi="Times New Roman" w:cs="Times New Roman"/>
          <w:lang w:val="en-US"/>
        </w:rPr>
        <w:t xml:space="preserve">The cost sharing arrangements defined in this Cost Sharing Proposal are sharing the costs </w:t>
      </w:r>
      <w:r>
        <w:rPr>
          <w:rFonts w:ascii="Times New Roman" w:eastAsia="Times New Roman" w:hAnsi="Times New Roman" w:cs="Times New Roman"/>
          <w:lang w:val="en-US"/>
        </w:rPr>
        <w:tab/>
      </w:r>
      <w:r w:rsidR="002A5A44" w:rsidRPr="002A5A44">
        <w:rPr>
          <w:rFonts w:ascii="Times New Roman" w:eastAsia="Times New Roman" w:hAnsi="Times New Roman" w:cs="Times New Roman"/>
          <w:lang w:val="en-US"/>
        </w:rPr>
        <w:t>between all TSOs</w:t>
      </w:r>
      <w:r w:rsidR="00CA75B6">
        <w:rPr>
          <w:rFonts w:ascii="Times New Roman" w:eastAsia="Times New Roman" w:hAnsi="Times New Roman" w:cs="Times New Roman"/>
          <w:lang w:val="en-US"/>
        </w:rPr>
        <w:t xml:space="preserve"> based on a prioritization of different flows</w:t>
      </w:r>
      <w:r w:rsidR="002A5A44" w:rsidRPr="002A5A44">
        <w:rPr>
          <w:rFonts w:ascii="Times New Roman" w:eastAsia="Times New Roman" w:hAnsi="Times New Roman" w:cs="Times New Roman"/>
          <w:lang w:val="en-US"/>
        </w:rPr>
        <w:t>.</w:t>
      </w:r>
    </w:p>
    <w:p w14:paraId="0E0F2906" w14:textId="75762485" w:rsidR="002A5A44" w:rsidRPr="002A5A44" w:rsidRDefault="00246BE4" w:rsidP="002A5A44">
      <w:pPr>
        <w:widowControl w:val="0"/>
        <w:tabs>
          <w:tab w:val="left" w:pos="1115"/>
        </w:tabs>
        <w:spacing w:before="131" w:line="259" w:lineRule="auto"/>
        <w:ind w:left="1114" w:right="509"/>
        <w:jc w:val="both"/>
        <w:rPr>
          <w:rFonts w:ascii="Times New Roman" w:eastAsia="Times New Roman" w:hAnsi="Times New Roman" w:cs="Times New Roman"/>
          <w:lang w:val="en-US"/>
        </w:rPr>
      </w:pPr>
      <w:proofErr w:type="gramStart"/>
      <w:r>
        <w:rPr>
          <w:rFonts w:ascii="Times New Roman" w:eastAsia="Times New Roman" w:hAnsi="Times New Roman" w:cs="Times New Roman"/>
          <w:lang w:val="en-US"/>
        </w:rPr>
        <w:t>c</w:t>
      </w:r>
      <w:proofErr w:type="gramEnd"/>
      <w:r w:rsidR="002A5A44" w:rsidRPr="002A5A44">
        <w:rPr>
          <w:rFonts w:ascii="Times New Roman" w:eastAsia="Times New Roman" w:hAnsi="Times New Roman" w:cs="Times New Roman"/>
          <w:lang w:val="en-US"/>
        </w:rPr>
        <w:t>. facilitate the efficient long-term development and operation of the pan-European interconnected system and the efficient operation of the pan-European electricity market;</w:t>
      </w:r>
    </w:p>
    <w:p w14:paraId="76A57BBB" w14:textId="5063FEB2" w:rsidR="002A5A44" w:rsidRPr="002A5A44" w:rsidRDefault="00246BE4" w:rsidP="002A5A44">
      <w:pPr>
        <w:widowControl w:val="0"/>
        <w:tabs>
          <w:tab w:val="left" w:pos="1115"/>
        </w:tabs>
        <w:spacing w:before="131" w:line="259" w:lineRule="auto"/>
        <w:ind w:left="1114" w:right="509"/>
        <w:jc w:val="both"/>
        <w:rPr>
          <w:rFonts w:ascii="Times New Roman" w:eastAsia="Times New Roman" w:hAnsi="Times New Roman" w:cs="Times New Roman"/>
          <w:lang w:val="en-US"/>
        </w:rPr>
      </w:pPr>
      <w:proofErr w:type="gramStart"/>
      <w:r>
        <w:rPr>
          <w:rFonts w:ascii="Times New Roman" w:eastAsia="Times New Roman" w:hAnsi="Times New Roman" w:cs="Times New Roman"/>
          <w:lang w:val="en-US"/>
        </w:rPr>
        <w:t>d</w:t>
      </w:r>
      <w:proofErr w:type="gramEnd"/>
      <w:r w:rsidR="002A5A44" w:rsidRPr="00EC6855">
        <w:rPr>
          <w:rFonts w:ascii="Times New Roman" w:eastAsia="Times New Roman" w:hAnsi="Times New Roman" w:cs="Times New Roman"/>
          <w:lang w:val="en-US"/>
        </w:rPr>
        <w:t xml:space="preserve">. facilitate adherence to the general principles of congestion management as set out in Article 16 of Regulation (EC) No 714/2009. </w:t>
      </w:r>
      <w:proofErr w:type="gramStart"/>
      <w:r w:rsidR="002A5A44" w:rsidRPr="00EC6855">
        <w:rPr>
          <w:rFonts w:ascii="Times New Roman" w:eastAsia="Times New Roman" w:hAnsi="Times New Roman" w:cs="Times New Roman"/>
          <w:lang w:val="en-US"/>
        </w:rPr>
        <w:t>Article 16 of Regulation (EC) No 714/2009 states that “The maximum capacity of the interconnections and/or the transmission networks affecting cross-border flows shall be made available to market participants, complying with safety standards of secure network operation”.</w:t>
      </w:r>
      <w:proofErr w:type="gramEnd"/>
      <w:r w:rsidR="002A5A44" w:rsidRPr="00EC6855">
        <w:rPr>
          <w:rFonts w:ascii="Times New Roman" w:eastAsia="Times New Roman" w:hAnsi="Times New Roman" w:cs="Times New Roman"/>
          <w:lang w:val="en-US"/>
        </w:rPr>
        <w:t xml:space="preserve"> By allowing the application of the Countertrading and </w:t>
      </w:r>
      <w:proofErr w:type="spellStart"/>
      <w:r w:rsidR="002A5A44" w:rsidRPr="00EC6855">
        <w:rPr>
          <w:rFonts w:ascii="Times New Roman" w:eastAsia="Times New Roman" w:hAnsi="Times New Roman" w:cs="Times New Roman"/>
          <w:lang w:val="en-US"/>
        </w:rPr>
        <w:t>Redispatching</w:t>
      </w:r>
      <w:proofErr w:type="spellEnd"/>
      <w:r w:rsidR="002A5A44" w:rsidRPr="00EC6855">
        <w:rPr>
          <w:rFonts w:ascii="Times New Roman" w:eastAsia="Times New Roman" w:hAnsi="Times New Roman" w:cs="Times New Roman"/>
          <w:lang w:val="en-US"/>
        </w:rPr>
        <w:t xml:space="preserve"> methodology, the cost sharing arrangements defined in this Cost Sharing Proposal contribute to the maximization of the cross border capacity over the SEE CCR, while ensuring the grid security. </w:t>
      </w:r>
      <w:proofErr w:type="gramStart"/>
      <w:r w:rsidR="002A5A44" w:rsidRPr="00EC6855">
        <w:rPr>
          <w:rFonts w:ascii="Times New Roman" w:eastAsia="Times New Roman" w:hAnsi="Times New Roman" w:cs="Times New Roman"/>
          <w:lang w:val="en-US"/>
        </w:rPr>
        <w:t>Article 16 of Regulation (EC) No 714/2009 states that “Any revenues resulting from the allocation of interconnection shall be used for guaranteeing the actual availability of the allocated capacity”.</w:t>
      </w:r>
      <w:proofErr w:type="gramEnd"/>
      <w:r w:rsidR="002A5A44" w:rsidRPr="00EC6855">
        <w:rPr>
          <w:rFonts w:ascii="Times New Roman" w:eastAsia="Times New Roman" w:hAnsi="Times New Roman" w:cs="Times New Roman"/>
          <w:lang w:val="en-US"/>
        </w:rPr>
        <w:t xml:space="preserve"> The cost sharing arrangements defined in this Cost Sharing Proposal facilitate the allocation of the revenues resulting from the allocation of interconnection to the costs of countertrading and </w:t>
      </w:r>
      <w:proofErr w:type="spellStart"/>
      <w:r w:rsidR="002A5A44" w:rsidRPr="00EC6855">
        <w:rPr>
          <w:rFonts w:ascii="Times New Roman" w:eastAsia="Times New Roman" w:hAnsi="Times New Roman" w:cs="Times New Roman"/>
          <w:lang w:val="en-US"/>
        </w:rPr>
        <w:t>redispatching</w:t>
      </w:r>
      <w:proofErr w:type="spellEnd"/>
      <w:r w:rsidR="002A5A44" w:rsidRPr="00EC6855">
        <w:rPr>
          <w:rFonts w:ascii="Times New Roman" w:eastAsia="Times New Roman" w:hAnsi="Times New Roman" w:cs="Times New Roman"/>
          <w:lang w:val="en-US"/>
        </w:rPr>
        <w:t xml:space="preserve"> measures used to guarantee the allocated cross border capacity.</w:t>
      </w:r>
    </w:p>
    <w:p w14:paraId="4588A9BF" w14:textId="272EE096" w:rsidR="002A5A44" w:rsidRPr="002A5A44" w:rsidRDefault="00246BE4" w:rsidP="002A5A44">
      <w:pPr>
        <w:widowControl w:val="0"/>
        <w:tabs>
          <w:tab w:val="left" w:pos="1115"/>
        </w:tabs>
        <w:spacing w:before="131" w:line="259" w:lineRule="auto"/>
        <w:ind w:left="1114" w:right="509"/>
        <w:jc w:val="both"/>
        <w:rPr>
          <w:rFonts w:ascii="Times New Roman" w:eastAsia="Times New Roman" w:hAnsi="Times New Roman" w:cs="Times New Roman"/>
          <w:lang w:val="en-US"/>
        </w:rPr>
      </w:pPr>
      <w:proofErr w:type="gramStart"/>
      <w:r>
        <w:rPr>
          <w:rFonts w:ascii="Times New Roman" w:eastAsia="Times New Roman" w:hAnsi="Times New Roman" w:cs="Times New Roman"/>
          <w:lang w:val="en-US"/>
        </w:rPr>
        <w:t>e</w:t>
      </w:r>
      <w:proofErr w:type="gramEnd"/>
      <w:r w:rsidR="002A5A44" w:rsidRPr="00EC6855">
        <w:rPr>
          <w:rFonts w:ascii="Times New Roman" w:eastAsia="Times New Roman" w:hAnsi="Times New Roman" w:cs="Times New Roman"/>
          <w:lang w:val="en-US"/>
        </w:rPr>
        <w:t>. allow reasonable financial planning. The cost sharing arrangements defined in this Cost Sharing Proposal are based on elements known by all TSOs at the moment these arrangements are applied.</w:t>
      </w:r>
    </w:p>
    <w:p w14:paraId="26E4E51F" w14:textId="4C6A9FE0" w:rsidR="002A5A44" w:rsidRPr="002A5A44" w:rsidRDefault="00246BE4" w:rsidP="002A5A44">
      <w:pPr>
        <w:widowControl w:val="0"/>
        <w:tabs>
          <w:tab w:val="left" w:pos="1115"/>
        </w:tabs>
        <w:spacing w:before="131" w:line="259" w:lineRule="auto"/>
        <w:ind w:left="1114" w:right="509"/>
        <w:jc w:val="both"/>
        <w:rPr>
          <w:rFonts w:ascii="Times New Roman" w:eastAsia="Times New Roman" w:hAnsi="Times New Roman" w:cs="Times New Roman"/>
          <w:lang w:val="en-US"/>
        </w:rPr>
      </w:pPr>
      <w:proofErr w:type="gramStart"/>
      <w:r>
        <w:rPr>
          <w:rFonts w:ascii="Times New Roman" w:eastAsia="Times New Roman" w:hAnsi="Times New Roman" w:cs="Times New Roman"/>
          <w:lang w:val="en-US"/>
        </w:rPr>
        <w:t>f</w:t>
      </w:r>
      <w:proofErr w:type="gramEnd"/>
      <w:r w:rsidR="002A5A44" w:rsidRPr="002A5A44">
        <w:rPr>
          <w:rFonts w:ascii="Times New Roman" w:eastAsia="Times New Roman" w:hAnsi="Times New Roman" w:cs="Times New Roman"/>
          <w:lang w:val="en-US"/>
        </w:rPr>
        <w:t>. be compatible across the day-ahead and intraday market time-frames. The cost sharing arrangements defined in this Cost Sharing Proposal can be applied in both day-ahead and intraday market time-frames.</w:t>
      </w:r>
    </w:p>
    <w:p w14:paraId="36369CD8" w14:textId="318435DC" w:rsidR="002A5A44" w:rsidRPr="002A5A44" w:rsidRDefault="00246BE4" w:rsidP="002A5A44">
      <w:pPr>
        <w:widowControl w:val="0"/>
        <w:tabs>
          <w:tab w:val="left" w:pos="1115"/>
        </w:tabs>
        <w:spacing w:before="131" w:line="259" w:lineRule="auto"/>
        <w:ind w:left="1114" w:right="509"/>
        <w:jc w:val="both"/>
        <w:rPr>
          <w:rFonts w:ascii="Times New Roman" w:eastAsia="Times New Roman" w:hAnsi="Times New Roman" w:cs="Times New Roman"/>
          <w:lang w:val="en-US"/>
        </w:rPr>
      </w:pPr>
      <w:proofErr w:type="gramStart"/>
      <w:r>
        <w:rPr>
          <w:rFonts w:ascii="Times New Roman" w:eastAsia="Times New Roman" w:hAnsi="Times New Roman" w:cs="Times New Roman"/>
          <w:lang w:val="en-US"/>
        </w:rPr>
        <w:t>g</w:t>
      </w:r>
      <w:proofErr w:type="gramEnd"/>
      <w:r w:rsidR="002A5A44" w:rsidRPr="002A5A44">
        <w:rPr>
          <w:rFonts w:ascii="Times New Roman" w:eastAsia="Times New Roman" w:hAnsi="Times New Roman" w:cs="Times New Roman"/>
          <w:lang w:val="en-US"/>
        </w:rPr>
        <w:t>. comply with the principles of transparency and non-discrimination.</w:t>
      </w:r>
    </w:p>
    <w:p w14:paraId="682BE85A" w14:textId="77777777" w:rsidR="002A5A44" w:rsidRPr="002A5A44" w:rsidRDefault="002A5A44" w:rsidP="002A5A44">
      <w:pPr>
        <w:widowControl w:val="0"/>
        <w:tabs>
          <w:tab w:val="left" w:pos="1115"/>
        </w:tabs>
        <w:spacing w:before="131" w:line="259" w:lineRule="auto"/>
        <w:ind w:left="1114" w:right="509"/>
        <w:jc w:val="both"/>
        <w:rPr>
          <w:rFonts w:ascii="Times New Roman" w:eastAsia="Times New Roman" w:hAnsi="Times New Roman" w:cs="Times New Roman"/>
          <w:lang w:val="en-US"/>
        </w:rPr>
      </w:pPr>
      <w:r w:rsidRPr="002A5A44">
        <w:rPr>
          <w:rFonts w:ascii="Times New Roman" w:eastAsia="Times New Roman" w:hAnsi="Times New Roman" w:cs="Times New Roman"/>
          <w:lang w:val="en-US"/>
        </w:rPr>
        <w:t>The cost sharing arrangements defined in this Cost Sharing Proposal are described in a transparent way and are agreed by all TSOs. Moreover, the cost sharing arrangements defined in this Cost Sharing Proposal are based on elements known by all TSOs at the moment these arrangements are applied.</w:t>
      </w:r>
    </w:p>
    <w:p w14:paraId="777DB562" w14:textId="77777777" w:rsidR="002A5A44" w:rsidRPr="002A5A44" w:rsidRDefault="002A5A44" w:rsidP="002A5A44">
      <w:pPr>
        <w:widowControl w:val="0"/>
        <w:tabs>
          <w:tab w:val="left" w:pos="1115"/>
        </w:tabs>
        <w:spacing w:before="131" w:line="259" w:lineRule="auto"/>
        <w:rPr>
          <w:rFonts w:ascii="Times New Roman" w:eastAsia="Times New Roman" w:hAnsi="Times New Roman" w:cs="Times New Roman"/>
          <w:sz w:val="24"/>
          <w:highlight w:val="yellow"/>
          <w:lang w:val="en-US"/>
        </w:rPr>
      </w:pPr>
    </w:p>
    <w:p w14:paraId="612C6B5B" w14:textId="77777777" w:rsidR="0030591F" w:rsidRDefault="002A5A44" w:rsidP="006B6D11">
      <w:pPr>
        <w:spacing w:after="120"/>
        <w:jc w:val="center"/>
        <w:rPr>
          <w:rFonts w:ascii="Times New Roman" w:eastAsia="Times New Roman" w:hAnsi="Times New Roman" w:cs="Times New Roman"/>
          <w:b/>
          <w:lang w:val="en-US"/>
        </w:rPr>
      </w:pPr>
      <w:r w:rsidRPr="002A5A44">
        <w:rPr>
          <w:rFonts w:ascii="Times New Roman" w:eastAsia="Times New Roman" w:hAnsi="Times New Roman" w:cs="Times New Roman"/>
          <w:b/>
          <w:lang w:val="en-US"/>
        </w:rPr>
        <w:t>SUBMIT THE FOLLOWING REDISPATCHING AND COUNTERTRADING COST SHARING METHODOLOGY PROPOSAL TO ALL NATIONAL REGULATORY AUTHORITIES OF THE REGION:</w:t>
      </w:r>
    </w:p>
    <w:p w14:paraId="4E6B9459" w14:textId="77777777" w:rsidR="0030591F" w:rsidRDefault="0030591F">
      <w:pPr>
        <w:rPr>
          <w:rFonts w:ascii="Times New Roman" w:eastAsia="Times New Roman" w:hAnsi="Times New Roman" w:cs="Times New Roman"/>
          <w:b/>
          <w:lang w:val="en-US"/>
        </w:rPr>
      </w:pPr>
      <w:r>
        <w:rPr>
          <w:rFonts w:ascii="Times New Roman" w:eastAsia="Times New Roman" w:hAnsi="Times New Roman" w:cs="Times New Roman"/>
          <w:b/>
          <w:lang w:val="en-US"/>
        </w:rPr>
        <w:br w:type="page"/>
      </w:r>
    </w:p>
    <w:p w14:paraId="443D0AEA" w14:textId="001F5E26" w:rsidR="007D1FFC" w:rsidRPr="007D1FFC" w:rsidRDefault="007D1FFC" w:rsidP="006B6D11">
      <w:pPr>
        <w:spacing w:after="120"/>
        <w:jc w:val="center"/>
        <w:rPr>
          <w:rFonts w:cstheme="minorHAnsi"/>
          <w:b/>
          <w:color w:val="23236E" w:themeColor="text2"/>
          <w:sz w:val="24"/>
          <w:szCs w:val="28"/>
          <w:lang w:val="en-US"/>
        </w:rPr>
      </w:pPr>
      <w:r w:rsidRPr="00D16C65">
        <w:rPr>
          <w:rFonts w:cstheme="minorHAnsi"/>
          <w:b/>
          <w:color w:val="23236E" w:themeColor="text2"/>
          <w:sz w:val="24"/>
          <w:szCs w:val="28"/>
          <w:lang w:val="en-US"/>
        </w:rPr>
        <w:lastRenderedPageBreak/>
        <w:br/>
      </w:r>
      <w:r w:rsidRPr="007D1FFC">
        <w:rPr>
          <w:rFonts w:cstheme="minorHAnsi"/>
          <w:b/>
          <w:color w:val="23236E" w:themeColor="text2"/>
          <w:sz w:val="24"/>
          <w:szCs w:val="28"/>
          <w:lang w:val="en-US"/>
        </w:rPr>
        <w:t>General provisions</w:t>
      </w:r>
    </w:p>
    <w:p w14:paraId="29D16346" w14:textId="73B4F834" w:rsidR="0064345A" w:rsidRDefault="0064345A" w:rsidP="001008E1">
      <w:pPr>
        <w:spacing w:before="240" w:after="120" w:line="260" w:lineRule="exact"/>
        <w:jc w:val="center"/>
        <w:outlineLvl w:val="1"/>
        <w:rPr>
          <w:rFonts w:cstheme="minorHAnsi"/>
          <w:b/>
          <w:color w:val="23236E" w:themeColor="text2"/>
          <w:sz w:val="24"/>
          <w:szCs w:val="24"/>
          <w:lang w:val="en-US"/>
        </w:rPr>
      </w:pPr>
      <w:bookmarkStart w:id="6" w:name="_Toc432586769"/>
      <w:bookmarkStart w:id="7" w:name="_Toc432586789"/>
      <w:bookmarkStart w:id="8" w:name="_Toc434227405"/>
      <w:bookmarkStart w:id="9" w:name="_Toc434343196"/>
      <w:r w:rsidRPr="0064345A">
        <w:rPr>
          <w:rFonts w:ascii="Times New Roman" w:hAnsi="Times New Roman" w:cstheme="majorHAnsi"/>
          <w:b/>
          <w:color w:val="23236E" w:themeColor="text2"/>
          <w:sz w:val="24"/>
          <w:szCs w:val="24"/>
          <w:lang w:val="en-US"/>
        </w:rPr>
        <w:t>Article 1</w:t>
      </w:r>
      <w:r w:rsidRPr="0064345A">
        <w:rPr>
          <w:rFonts w:ascii="Times New Roman" w:hAnsi="Times New Roman" w:cstheme="majorHAnsi"/>
          <w:b/>
          <w:color w:val="23236E" w:themeColor="text2"/>
          <w:sz w:val="24"/>
          <w:szCs w:val="24"/>
          <w:lang w:val="en-US"/>
        </w:rPr>
        <w:br/>
      </w:r>
      <w:bookmarkEnd w:id="6"/>
      <w:bookmarkEnd w:id="7"/>
      <w:bookmarkEnd w:id="8"/>
      <w:bookmarkEnd w:id="9"/>
      <w:r w:rsidR="00B5799F" w:rsidRPr="00D16C65">
        <w:rPr>
          <w:rFonts w:cstheme="minorHAnsi"/>
          <w:b/>
          <w:color w:val="23236E" w:themeColor="text2"/>
          <w:sz w:val="24"/>
          <w:szCs w:val="24"/>
          <w:lang w:val="en-US"/>
        </w:rPr>
        <w:t>Subject matter and scope</w:t>
      </w:r>
      <w:r w:rsidRPr="00D16C65">
        <w:rPr>
          <w:rFonts w:cstheme="minorHAnsi"/>
          <w:b/>
          <w:color w:val="23236E" w:themeColor="text2"/>
          <w:sz w:val="24"/>
          <w:szCs w:val="24"/>
          <w:lang w:val="en-US"/>
        </w:rPr>
        <w:t xml:space="preserve"> </w:t>
      </w:r>
    </w:p>
    <w:p w14:paraId="01B48F79" w14:textId="77777777" w:rsidR="002653A0" w:rsidRDefault="002653A0" w:rsidP="002653A0">
      <w:pPr>
        <w:spacing w:line="260" w:lineRule="exact"/>
        <w:jc w:val="center"/>
        <w:outlineLvl w:val="1"/>
        <w:rPr>
          <w:rFonts w:cstheme="minorHAnsi"/>
          <w:b/>
          <w:color w:val="23236E" w:themeColor="text2"/>
          <w:sz w:val="24"/>
          <w:szCs w:val="24"/>
          <w:lang w:val="en-US"/>
        </w:rPr>
      </w:pPr>
    </w:p>
    <w:p w14:paraId="63E4A8DD" w14:textId="0D38CA94" w:rsidR="003F3674" w:rsidRPr="003F3674" w:rsidRDefault="003F3674" w:rsidP="003F3674">
      <w:pPr>
        <w:spacing w:before="240" w:after="120" w:line="260" w:lineRule="exact"/>
        <w:jc w:val="both"/>
        <w:outlineLvl w:val="1"/>
        <w:rPr>
          <w:rFonts w:cstheme="minorHAnsi"/>
          <w:lang w:val="en-US"/>
        </w:rPr>
      </w:pPr>
      <w:r w:rsidRPr="003F3674">
        <w:rPr>
          <w:rFonts w:cstheme="minorHAnsi"/>
          <w:lang w:val="en-US"/>
        </w:rPr>
        <w:t>This Cost Sharing Proposal is the common proposal of all TSOs of the SEE Capacity Calculation Region in accordance with Article 74 of the CACM Regulation.</w:t>
      </w:r>
    </w:p>
    <w:p w14:paraId="59C3B040" w14:textId="77777777" w:rsidR="00450491" w:rsidRPr="00D16C65" w:rsidRDefault="00450491" w:rsidP="00B5799F">
      <w:pPr>
        <w:spacing w:after="120" w:line="259" w:lineRule="auto"/>
        <w:contextualSpacing/>
        <w:jc w:val="both"/>
        <w:rPr>
          <w:rFonts w:cstheme="minorHAnsi"/>
          <w:lang w:val="en-US"/>
        </w:rPr>
      </w:pPr>
    </w:p>
    <w:p w14:paraId="0F0FF110" w14:textId="5DD667AB" w:rsidR="00B5799F" w:rsidRPr="00530A0D" w:rsidRDefault="002D68CE" w:rsidP="00530A0D">
      <w:pPr>
        <w:spacing w:after="120" w:line="260" w:lineRule="exact"/>
        <w:jc w:val="center"/>
        <w:outlineLvl w:val="1"/>
        <w:rPr>
          <w:rFonts w:cstheme="minorHAnsi"/>
          <w:b/>
          <w:color w:val="23236E" w:themeColor="text2"/>
          <w:sz w:val="24"/>
          <w:szCs w:val="24"/>
          <w:lang w:val="en-US"/>
        </w:rPr>
      </w:pPr>
      <w:r w:rsidRPr="00D16C65">
        <w:rPr>
          <w:rFonts w:cstheme="minorHAnsi"/>
          <w:b/>
          <w:color w:val="23236E" w:themeColor="text2"/>
          <w:sz w:val="24"/>
          <w:szCs w:val="24"/>
          <w:lang w:val="en-US"/>
        </w:rPr>
        <w:t>Article 2</w:t>
      </w:r>
      <w:r w:rsidRPr="00D16C65">
        <w:rPr>
          <w:rFonts w:cstheme="minorHAnsi"/>
          <w:b/>
          <w:color w:val="23236E" w:themeColor="text2"/>
          <w:sz w:val="24"/>
          <w:szCs w:val="24"/>
          <w:lang w:val="en-US"/>
        </w:rPr>
        <w:br/>
        <w:t xml:space="preserve">Definitions </w:t>
      </w:r>
    </w:p>
    <w:p w14:paraId="133FCA71" w14:textId="77777777" w:rsidR="003F3674" w:rsidRDefault="003F3674" w:rsidP="003F3674">
      <w:pPr>
        <w:pStyle w:val="Default"/>
      </w:pPr>
    </w:p>
    <w:p w14:paraId="1E4EE5F8" w14:textId="7D77AC73" w:rsidR="007557A2" w:rsidRDefault="003F3674" w:rsidP="007557A2">
      <w:pPr>
        <w:pStyle w:val="Default"/>
        <w:spacing w:after="140"/>
        <w:jc w:val="both"/>
        <w:rPr>
          <w:sz w:val="22"/>
          <w:szCs w:val="22"/>
        </w:rPr>
      </w:pPr>
      <w:r>
        <w:rPr>
          <w:sz w:val="22"/>
          <w:szCs w:val="22"/>
        </w:rPr>
        <w:t xml:space="preserve">1. For the purpose of this proposal, the definitions in Article 2 of the CACM Regulation shall apply. </w:t>
      </w:r>
    </w:p>
    <w:p w14:paraId="46BB1A1E" w14:textId="3F557DF0" w:rsidR="003F3674" w:rsidRDefault="003F3674" w:rsidP="003F3674">
      <w:pPr>
        <w:pStyle w:val="Default"/>
        <w:spacing w:after="140"/>
        <w:jc w:val="both"/>
        <w:rPr>
          <w:sz w:val="22"/>
          <w:szCs w:val="22"/>
        </w:rPr>
      </w:pPr>
      <w:r>
        <w:rPr>
          <w:sz w:val="22"/>
          <w:szCs w:val="22"/>
        </w:rPr>
        <w:t xml:space="preserve">2. In addition, the following definitions (abbreviations) shall apply: </w:t>
      </w:r>
    </w:p>
    <w:p w14:paraId="12E5DE4C" w14:textId="731FC3D1" w:rsidR="003F3674" w:rsidRDefault="003F3674" w:rsidP="0030591F">
      <w:pPr>
        <w:pStyle w:val="Default"/>
        <w:numPr>
          <w:ilvl w:val="1"/>
          <w:numId w:val="66"/>
        </w:numPr>
        <w:spacing w:after="140"/>
        <w:ind w:left="567" w:hanging="141"/>
        <w:jc w:val="both"/>
        <w:rPr>
          <w:sz w:val="22"/>
          <w:szCs w:val="22"/>
        </w:rPr>
      </w:pPr>
      <w:r>
        <w:rPr>
          <w:sz w:val="22"/>
          <w:szCs w:val="22"/>
        </w:rPr>
        <w:t xml:space="preserve">a) ‘Remedial actions (RA)’ means an action, which consist as a set of non-costly or costly remedial measures in order to solve overload on congested element. </w:t>
      </w:r>
    </w:p>
    <w:p w14:paraId="178DC495" w14:textId="24A81580" w:rsidR="003F3674" w:rsidRDefault="003F3674" w:rsidP="0030591F">
      <w:pPr>
        <w:pStyle w:val="Default"/>
        <w:numPr>
          <w:ilvl w:val="1"/>
          <w:numId w:val="66"/>
        </w:numPr>
        <w:spacing w:after="140"/>
        <w:ind w:left="567" w:hanging="141"/>
        <w:jc w:val="both"/>
        <w:rPr>
          <w:sz w:val="22"/>
          <w:szCs w:val="22"/>
        </w:rPr>
      </w:pPr>
      <w:r>
        <w:rPr>
          <w:sz w:val="22"/>
          <w:szCs w:val="22"/>
        </w:rPr>
        <w:t xml:space="preserve">b) ‘Operational security analysis (OSA)’ means an analysis performed by the relevant RSC to identify if operation of the power system is safe and secure for the analysed period. </w:t>
      </w:r>
    </w:p>
    <w:p w14:paraId="34BB39BC" w14:textId="03119230" w:rsidR="003F3674" w:rsidRDefault="003F3674" w:rsidP="0030591F">
      <w:pPr>
        <w:pStyle w:val="Default"/>
        <w:numPr>
          <w:ilvl w:val="1"/>
          <w:numId w:val="66"/>
        </w:numPr>
        <w:spacing w:after="140"/>
        <w:ind w:left="567" w:hanging="141"/>
        <w:jc w:val="both"/>
        <w:rPr>
          <w:sz w:val="22"/>
          <w:szCs w:val="22"/>
        </w:rPr>
      </w:pPr>
      <w:r>
        <w:rPr>
          <w:sz w:val="22"/>
          <w:szCs w:val="22"/>
        </w:rPr>
        <w:t xml:space="preserve">c) ‘Regional Security Coordinator (RSC)’ means an entity, which is responsible to perform OSA and to coordinate implementation of remedial actions within TSOs of the same CCR and among the relevant CCRs. </w:t>
      </w:r>
    </w:p>
    <w:p w14:paraId="0DA29E38" w14:textId="6F938818" w:rsidR="003F3674" w:rsidRDefault="003F3674" w:rsidP="0030591F">
      <w:pPr>
        <w:pStyle w:val="Default"/>
        <w:numPr>
          <w:ilvl w:val="1"/>
          <w:numId w:val="66"/>
        </w:numPr>
        <w:ind w:left="567" w:hanging="141"/>
        <w:jc w:val="both"/>
        <w:rPr>
          <w:sz w:val="22"/>
          <w:szCs w:val="22"/>
        </w:rPr>
      </w:pPr>
      <w:r>
        <w:rPr>
          <w:sz w:val="22"/>
          <w:szCs w:val="22"/>
        </w:rPr>
        <w:t>d) ‘Not Coordinated Action (NCA)’ means any action (PST tap change, topological action, etc..) applied by a TSO without coordinating it with the other TSOs of the CCR</w:t>
      </w:r>
      <w:r w:rsidR="002D4993">
        <w:rPr>
          <w:sz w:val="22"/>
          <w:szCs w:val="22"/>
        </w:rPr>
        <w:t>.</w:t>
      </w:r>
    </w:p>
    <w:p w14:paraId="0808B069" w14:textId="77777777" w:rsidR="002D4993" w:rsidRDefault="002D4993" w:rsidP="002653A0">
      <w:pPr>
        <w:pStyle w:val="Default"/>
        <w:jc w:val="both"/>
        <w:rPr>
          <w:sz w:val="22"/>
          <w:szCs w:val="22"/>
        </w:rPr>
      </w:pPr>
    </w:p>
    <w:p w14:paraId="4BBF1A59" w14:textId="49C69CBF" w:rsidR="002D4993" w:rsidRDefault="002D4993" w:rsidP="002D4993">
      <w:pPr>
        <w:pStyle w:val="Default"/>
        <w:numPr>
          <w:ilvl w:val="1"/>
          <w:numId w:val="66"/>
        </w:numPr>
        <w:ind w:left="567" w:hanging="141"/>
        <w:rPr>
          <w:sz w:val="22"/>
          <w:lang w:val="en-GB"/>
        </w:rPr>
      </w:pPr>
      <w:r>
        <w:rPr>
          <w:sz w:val="22"/>
          <w:szCs w:val="22"/>
        </w:rPr>
        <w:t xml:space="preserve">e)  </w:t>
      </w:r>
      <w:r w:rsidRPr="002D4993">
        <w:rPr>
          <w:sz w:val="22"/>
          <w:lang w:val="en-GB"/>
        </w:rPr>
        <w:t xml:space="preserve">Coordinated </w:t>
      </w:r>
      <w:proofErr w:type="spellStart"/>
      <w:r w:rsidRPr="002D4993">
        <w:rPr>
          <w:sz w:val="22"/>
          <w:lang w:val="en-GB"/>
        </w:rPr>
        <w:t>Redispatching</w:t>
      </w:r>
      <w:proofErr w:type="spellEnd"/>
      <w:r w:rsidRPr="002D4993">
        <w:rPr>
          <w:sz w:val="22"/>
          <w:lang w:val="en-GB"/>
        </w:rPr>
        <w:t xml:space="preserve"> and Countertrading Methodology is the methodology according to article 35 CACM Regulation</w:t>
      </w:r>
    </w:p>
    <w:p w14:paraId="50647234" w14:textId="77777777" w:rsidR="002D4993" w:rsidRDefault="002D4993" w:rsidP="002653A0">
      <w:pPr>
        <w:pStyle w:val="Default"/>
        <w:rPr>
          <w:sz w:val="22"/>
          <w:lang w:val="en-GB"/>
        </w:rPr>
      </w:pPr>
    </w:p>
    <w:p w14:paraId="6B531DCD" w14:textId="3626B3AB" w:rsidR="002D4993" w:rsidRDefault="002D4993" w:rsidP="002D4993">
      <w:pPr>
        <w:pStyle w:val="Default"/>
        <w:numPr>
          <w:ilvl w:val="1"/>
          <w:numId w:val="66"/>
        </w:numPr>
        <w:ind w:left="567" w:hanging="141"/>
        <w:rPr>
          <w:sz w:val="22"/>
        </w:rPr>
      </w:pPr>
      <w:r>
        <w:rPr>
          <w:sz w:val="22"/>
          <w:lang w:val="en-GB"/>
        </w:rPr>
        <w:t xml:space="preserve">f)  </w:t>
      </w:r>
      <w:r w:rsidRPr="002D4993">
        <w:rPr>
          <w:sz w:val="22"/>
        </w:rPr>
        <w:t>Loop flows means the physical flow on a line where the source and sink are located in the same bidding zone and the line or even part of the tie-line is located in a different bidding zone</w:t>
      </w:r>
    </w:p>
    <w:p w14:paraId="56139899" w14:textId="77777777" w:rsidR="002D4993" w:rsidRDefault="002D4993" w:rsidP="002653A0">
      <w:pPr>
        <w:pStyle w:val="Default"/>
        <w:rPr>
          <w:sz w:val="22"/>
        </w:rPr>
      </w:pPr>
    </w:p>
    <w:p w14:paraId="0C2B64E3" w14:textId="77777777" w:rsidR="002D4993" w:rsidRDefault="002D4993" w:rsidP="002D4993">
      <w:pPr>
        <w:pStyle w:val="Default"/>
        <w:numPr>
          <w:ilvl w:val="1"/>
          <w:numId w:val="66"/>
        </w:numPr>
        <w:ind w:left="567" w:hanging="141"/>
        <w:rPr>
          <w:sz w:val="22"/>
          <w:lang w:val="en-GB"/>
        </w:rPr>
      </w:pPr>
      <w:r>
        <w:rPr>
          <w:sz w:val="22"/>
        </w:rPr>
        <w:t xml:space="preserve">g) </w:t>
      </w:r>
      <w:r w:rsidRPr="002D4993">
        <w:rPr>
          <w:sz w:val="22"/>
          <w:lang w:val="en-GB"/>
        </w:rPr>
        <w:t>‘Import/Export flows’ means the physical flow on a line where the source and sink are located in different bidding zones that are adjacent to each other</w:t>
      </w:r>
    </w:p>
    <w:p w14:paraId="3BEFFC05" w14:textId="77777777" w:rsidR="002D4993" w:rsidRDefault="002D4993" w:rsidP="002653A0">
      <w:pPr>
        <w:pStyle w:val="Default"/>
        <w:rPr>
          <w:sz w:val="22"/>
          <w:lang w:val="en-GB"/>
        </w:rPr>
      </w:pPr>
    </w:p>
    <w:p w14:paraId="6E86849E" w14:textId="77777777" w:rsidR="002D4993" w:rsidRDefault="002D4993" w:rsidP="002D4993">
      <w:pPr>
        <w:pStyle w:val="Default"/>
        <w:numPr>
          <w:ilvl w:val="1"/>
          <w:numId w:val="66"/>
        </w:numPr>
        <w:ind w:left="567" w:hanging="141"/>
        <w:rPr>
          <w:sz w:val="22"/>
        </w:rPr>
      </w:pPr>
      <w:r>
        <w:rPr>
          <w:sz w:val="22"/>
          <w:lang w:val="en-GB"/>
        </w:rPr>
        <w:t xml:space="preserve">h) </w:t>
      </w:r>
      <w:r w:rsidRPr="002D4993">
        <w:rPr>
          <w:sz w:val="22"/>
        </w:rPr>
        <w:t>‘Transit flows’ means the physical flow on a line where the source and sink are located in different bidding zones that are not adjacent to each other</w:t>
      </w:r>
    </w:p>
    <w:p w14:paraId="3106B514" w14:textId="77777777" w:rsidR="002D4993" w:rsidRDefault="002D4993" w:rsidP="002653A0">
      <w:pPr>
        <w:pStyle w:val="Default"/>
        <w:rPr>
          <w:sz w:val="22"/>
        </w:rPr>
      </w:pPr>
    </w:p>
    <w:p w14:paraId="25ED8D80" w14:textId="77777777" w:rsidR="002D4993" w:rsidRDefault="002D4993" w:rsidP="002D4993">
      <w:pPr>
        <w:pStyle w:val="Default"/>
        <w:numPr>
          <w:ilvl w:val="1"/>
          <w:numId w:val="66"/>
        </w:numPr>
        <w:ind w:left="567" w:hanging="141"/>
        <w:rPr>
          <w:sz w:val="22"/>
          <w:lang w:val="en-GB"/>
        </w:rPr>
      </w:pPr>
      <w:r>
        <w:rPr>
          <w:sz w:val="22"/>
        </w:rPr>
        <w:t xml:space="preserve">i) </w:t>
      </w:r>
      <w:r w:rsidRPr="002D4993">
        <w:rPr>
          <w:sz w:val="22"/>
          <w:lang w:val="en-GB"/>
        </w:rPr>
        <w:t>‘Internal flows’ means the physical flow on a line where the source and sink are located in the same bidding zone and the line or even part of the tie-line is located in the same bidding zone</w:t>
      </w:r>
    </w:p>
    <w:p w14:paraId="471EB8C9" w14:textId="77777777" w:rsidR="002D4993" w:rsidRDefault="002D4993" w:rsidP="002653A0">
      <w:pPr>
        <w:pStyle w:val="Default"/>
        <w:rPr>
          <w:sz w:val="22"/>
          <w:lang w:val="en-GB"/>
        </w:rPr>
      </w:pPr>
    </w:p>
    <w:p w14:paraId="0879B58F" w14:textId="77777777" w:rsidR="002D4993" w:rsidRDefault="002D4993" w:rsidP="002D4993">
      <w:pPr>
        <w:pStyle w:val="Default"/>
        <w:numPr>
          <w:ilvl w:val="1"/>
          <w:numId w:val="66"/>
        </w:numPr>
        <w:ind w:left="567" w:hanging="141"/>
        <w:rPr>
          <w:sz w:val="22"/>
        </w:rPr>
      </w:pPr>
      <w:r>
        <w:rPr>
          <w:sz w:val="22"/>
          <w:lang w:val="en-GB"/>
        </w:rPr>
        <w:t xml:space="preserve">j) </w:t>
      </w:r>
      <w:r w:rsidRPr="002D4993">
        <w:rPr>
          <w:sz w:val="22"/>
        </w:rPr>
        <w:t>‘Uncoordinated Remedial Action (UCRA)’ means any activation of a cross-border impacting remedial action applied by a TSO which is not coordinated with other TSOs of the CCR.</w:t>
      </w:r>
    </w:p>
    <w:p w14:paraId="24F297BB" w14:textId="77777777" w:rsidR="002D4993" w:rsidRDefault="002D4993" w:rsidP="002653A0">
      <w:pPr>
        <w:pStyle w:val="Default"/>
        <w:rPr>
          <w:sz w:val="22"/>
        </w:rPr>
      </w:pPr>
    </w:p>
    <w:p w14:paraId="7448BDE7" w14:textId="77777777" w:rsidR="002D4993" w:rsidRDefault="002D4993" w:rsidP="002D4993">
      <w:pPr>
        <w:pStyle w:val="Default"/>
        <w:numPr>
          <w:ilvl w:val="1"/>
          <w:numId w:val="66"/>
        </w:numPr>
        <w:ind w:left="567" w:hanging="141"/>
        <w:rPr>
          <w:sz w:val="22"/>
          <w:lang w:val="en-GB"/>
        </w:rPr>
      </w:pPr>
      <w:r>
        <w:rPr>
          <w:sz w:val="22"/>
        </w:rPr>
        <w:t xml:space="preserve">k) </w:t>
      </w:r>
      <w:r w:rsidRPr="002D4993">
        <w:rPr>
          <w:sz w:val="22"/>
          <w:lang w:val="en-GB"/>
        </w:rPr>
        <w:t>‘Burdening flow’ means a flow identified in the direction that is aggravating a constraint on a critical network element</w:t>
      </w:r>
    </w:p>
    <w:p w14:paraId="496B3C27" w14:textId="77777777" w:rsidR="002D4993" w:rsidRDefault="002D4993" w:rsidP="002653A0">
      <w:pPr>
        <w:pStyle w:val="Default"/>
        <w:rPr>
          <w:sz w:val="22"/>
          <w:lang w:val="en-GB"/>
        </w:rPr>
      </w:pPr>
    </w:p>
    <w:p w14:paraId="03EDDC6A" w14:textId="77777777" w:rsidR="002D4993" w:rsidRPr="002D4993" w:rsidRDefault="002D4993" w:rsidP="002D4993">
      <w:pPr>
        <w:pStyle w:val="Default"/>
        <w:numPr>
          <w:ilvl w:val="1"/>
          <w:numId w:val="66"/>
        </w:numPr>
        <w:ind w:left="567" w:hanging="141"/>
        <w:rPr>
          <w:sz w:val="22"/>
        </w:rPr>
      </w:pPr>
      <w:r>
        <w:rPr>
          <w:sz w:val="22"/>
          <w:lang w:val="en-GB"/>
        </w:rPr>
        <w:lastRenderedPageBreak/>
        <w:t xml:space="preserve">l) </w:t>
      </w:r>
      <w:r w:rsidRPr="002D4993">
        <w:rPr>
          <w:sz w:val="22"/>
        </w:rPr>
        <w:t>‘Relieving flow’ means a flow identified in the direction that is relieving a constraint on a critical network element</w:t>
      </w:r>
    </w:p>
    <w:p w14:paraId="0C38B2E6" w14:textId="7633CC69" w:rsidR="002D4993" w:rsidRPr="002D4993" w:rsidRDefault="002D4993" w:rsidP="002D4993">
      <w:pPr>
        <w:pStyle w:val="Default"/>
        <w:numPr>
          <w:ilvl w:val="1"/>
          <w:numId w:val="66"/>
        </w:numPr>
        <w:ind w:left="567" w:hanging="141"/>
        <w:rPr>
          <w:sz w:val="22"/>
          <w:lang w:val="en-GB"/>
        </w:rPr>
      </w:pPr>
    </w:p>
    <w:p w14:paraId="5CFE36A6" w14:textId="77777777" w:rsidR="007557A2" w:rsidRPr="002D4993" w:rsidRDefault="007557A2" w:rsidP="002653A0">
      <w:pPr>
        <w:pStyle w:val="Default"/>
        <w:numPr>
          <w:ilvl w:val="1"/>
          <w:numId w:val="66"/>
        </w:numPr>
        <w:ind w:left="567" w:hanging="141"/>
        <w:jc w:val="both"/>
        <w:rPr>
          <w:sz w:val="22"/>
          <w:szCs w:val="22"/>
        </w:rPr>
      </w:pPr>
    </w:p>
    <w:p w14:paraId="715AB16C" w14:textId="4DCD23D9" w:rsidR="0030591F" w:rsidRDefault="003F3674" w:rsidP="0030591F">
      <w:pPr>
        <w:pStyle w:val="Default"/>
        <w:jc w:val="both"/>
        <w:rPr>
          <w:sz w:val="22"/>
          <w:szCs w:val="22"/>
        </w:rPr>
      </w:pPr>
      <w:r w:rsidRPr="0030591F">
        <w:rPr>
          <w:sz w:val="22"/>
          <w:szCs w:val="22"/>
        </w:rPr>
        <w:t>3. In these proposal, including its annexes, unless the context requires otherwise:</w:t>
      </w:r>
    </w:p>
    <w:p w14:paraId="51E5167F" w14:textId="77777777" w:rsidR="0030591F" w:rsidRDefault="0030591F" w:rsidP="0030591F">
      <w:pPr>
        <w:pStyle w:val="Default"/>
        <w:jc w:val="both"/>
        <w:rPr>
          <w:sz w:val="22"/>
          <w:szCs w:val="22"/>
        </w:rPr>
      </w:pPr>
    </w:p>
    <w:p w14:paraId="36B3A88F" w14:textId="7D6A480A" w:rsidR="003F3674" w:rsidRDefault="003F3674" w:rsidP="0030591F">
      <w:pPr>
        <w:pStyle w:val="Default"/>
        <w:numPr>
          <w:ilvl w:val="0"/>
          <w:numId w:val="66"/>
        </w:numPr>
        <w:spacing w:after="145"/>
        <w:ind w:left="567" w:hanging="141"/>
        <w:jc w:val="both"/>
        <w:rPr>
          <w:sz w:val="22"/>
          <w:szCs w:val="22"/>
        </w:rPr>
      </w:pPr>
      <w:r>
        <w:rPr>
          <w:sz w:val="22"/>
          <w:szCs w:val="22"/>
        </w:rPr>
        <w:t xml:space="preserve">a) the singular indicates the plural and vice versa; </w:t>
      </w:r>
    </w:p>
    <w:p w14:paraId="25564D05" w14:textId="6DF72602" w:rsidR="003F3674" w:rsidRDefault="007557A2" w:rsidP="0030591F">
      <w:pPr>
        <w:pStyle w:val="Default"/>
        <w:numPr>
          <w:ilvl w:val="0"/>
          <w:numId w:val="66"/>
        </w:numPr>
        <w:spacing w:after="145"/>
        <w:ind w:left="567" w:hanging="141"/>
        <w:jc w:val="both"/>
        <w:rPr>
          <w:sz w:val="22"/>
          <w:szCs w:val="22"/>
        </w:rPr>
      </w:pPr>
      <w:r>
        <w:rPr>
          <w:sz w:val="22"/>
          <w:szCs w:val="22"/>
        </w:rPr>
        <w:t>b</w:t>
      </w:r>
      <w:r w:rsidR="003F3674">
        <w:rPr>
          <w:sz w:val="22"/>
          <w:szCs w:val="22"/>
        </w:rPr>
        <w:t xml:space="preserve">) references to one gender include all other genders; </w:t>
      </w:r>
    </w:p>
    <w:p w14:paraId="7AD56ED6" w14:textId="3D7A0F2A" w:rsidR="003F3674" w:rsidRDefault="007557A2" w:rsidP="0030591F">
      <w:pPr>
        <w:pStyle w:val="Default"/>
        <w:numPr>
          <w:ilvl w:val="0"/>
          <w:numId w:val="66"/>
        </w:numPr>
        <w:spacing w:after="145"/>
        <w:ind w:left="567" w:hanging="141"/>
        <w:jc w:val="both"/>
        <w:rPr>
          <w:sz w:val="22"/>
          <w:szCs w:val="22"/>
        </w:rPr>
      </w:pPr>
      <w:r>
        <w:rPr>
          <w:sz w:val="22"/>
          <w:szCs w:val="22"/>
        </w:rPr>
        <w:t>c</w:t>
      </w:r>
      <w:r w:rsidR="003F3674">
        <w:rPr>
          <w:sz w:val="22"/>
          <w:szCs w:val="22"/>
        </w:rPr>
        <w:t xml:space="preserve">) any reference to legislation, regulations, directive, order, instrument, code or any other enactment shall include any modification, extension or re-enactment of it then in force; </w:t>
      </w:r>
    </w:p>
    <w:p w14:paraId="690A0685" w14:textId="0EA4A297" w:rsidR="003F3674" w:rsidRDefault="007557A2" w:rsidP="0030591F">
      <w:pPr>
        <w:pStyle w:val="Default"/>
        <w:numPr>
          <w:ilvl w:val="0"/>
          <w:numId w:val="66"/>
        </w:numPr>
        <w:ind w:left="567" w:hanging="141"/>
        <w:jc w:val="both"/>
        <w:rPr>
          <w:sz w:val="22"/>
          <w:szCs w:val="22"/>
        </w:rPr>
      </w:pPr>
      <w:r>
        <w:rPr>
          <w:sz w:val="22"/>
          <w:szCs w:val="22"/>
        </w:rPr>
        <w:t>d</w:t>
      </w:r>
      <w:r w:rsidR="003F3674">
        <w:rPr>
          <w:sz w:val="22"/>
          <w:szCs w:val="22"/>
        </w:rPr>
        <w:t xml:space="preserve">) any reference to another agreement or document, or any deed or other instrument is to be construed as a reference to that other agreement, or document, deed or other instrument as amended, varied, supplemented, substituted or novated from time to time. </w:t>
      </w:r>
    </w:p>
    <w:p w14:paraId="1EA103D2" w14:textId="0F003323" w:rsidR="001D41D8" w:rsidRDefault="00530A0D" w:rsidP="001D41D8">
      <w:pPr>
        <w:spacing w:before="400" w:after="120" w:line="340" w:lineRule="exact"/>
        <w:jc w:val="center"/>
        <w:outlineLvl w:val="0"/>
        <w:rPr>
          <w:rFonts w:cstheme="minorHAnsi"/>
          <w:b/>
          <w:color w:val="23236E" w:themeColor="text2"/>
          <w:sz w:val="24"/>
          <w:szCs w:val="28"/>
          <w:lang w:val="en-US"/>
        </w:rPr>
      </w:pPr>
      <w:r>
        <w:rPr>
          <w:rFonts w:cstheme="minorHAnsi"/>
          <w:b/>
          <w:color w:val="23236E" w:themeColor="text2"/>
          <w:sz w:val="24"/>
          <w:szCs w:val="28"/>
          <w:lang w:val="en-US"/>
        </w:rPr>
        <w:t>Eligible costs</w:t>
      </w:r>
      <w:r w:rsidR="004122C6">
        <w:rPr>
          <w:rFonts w:cstheme="minorHAnsi"/>
          <w:b/>
          <w:color w:val="23236E" w:themeColor="text2"/>
          <w:sz w:val="24"/>
          <w:szCs w:val="28"/>
          <w:lang w:val="en-US"/>
        </w:rPr>
        <w:t xml:space="preserve"> for cost-sharing</w:t>
      </w:r>
    </w:p>
    <w:p w14:paraId="0619F2D6" w14:textId="0E9C9573" w:rsidR="00FF135A" w:rsidRDefault="00FF135A" w:rsidP="00FF135A">
      <w:pPr>
        <w:spacing w:before="400" w:after="120" w:line="340" w:lineRule="exact"/>
        <w:jc w:val="center"/>
        <w:outlineLvl w:val="0"/>
        <w:rPr>
          <w:rFonts w:cstheme="minorHAnsi"/>
          <w:b/>
          <w:color w:val="23236E" w:themeColor="text2"/>
          <w:sz w:val="24"/>
          <w:szCs w:val="28"/>
          <w:lang w:val="en-US"/>
        </w:rPr>
      </w:pPr>
      <w:r>
        <w:rPr>
          <w:rFonts w:cstheme="minorHAnsi"/>
          <w:b/>
          <w:color w:val="23236E" w:themeColor="text2"/>
          <w:sz w:val="24"/>
          <w:szCs w:val="28"/>
          <w:lang w:val="en-US"/>
        </w:rPr>
        <w:t>Article 3</w:t>
      </w:r>
      <w:r>
        <w:rPr>
          <w:rFonts w:cstheme="minorHAnsi"/>
          <w:b/>
          <w:color w:val="23236E" w:themeColor="text2"/>
          <w:sz w:val="24"/>
          <w:szCs w:val="28"/>
          <w:lang w:val="en-US"/>
        </w:rPr>
        <w:br/>
        <w:t>Cross-border relevanc</w:t>
      </w:r>
      <w:r w:rsidR="001B00F5">
        <w:rPr>
          <w:rFonts w:cstheme="minorHAnsi"/>
          <w:b/>
          <w:color w:val="23236E" w:themeColor="text2"/>
          <w:sz w:val="24"/>
          <w:szCs w:val="28"/>
          <w:lang w:val="en-US"/>
        </w:rPr>
        <w:t xml:space="preserve">e of congestions </w:t>
      </w:r>
    </w:p>
    <w:p w14:paraId="32DA7483" w14:textId="77777777" w:rsidR="002653A0" w:rsidRDefault="002653A0" w:rsidP="002653A0">
      <w:pPr>
        <w:spacing w:line="340" w:lineRule="exact"/>
        <w:jc w:val="center"/>
        <w:outlineLvl w:val="0"/>
        <w:rPr>
          <w:rFonts w:cstheme="minorHAnsi"/>
          <w:b/>
          <w:color w:val="23236E" w:themeColor="text2"/>
          <w:sz w:val="24"/>
          <w:szCs w:val="28"/>
          <w:lang w:val="en-US"/>
        </w:rPr>
      </w:pPr>
    </w:p>
    <w:p w14:paraId="244180B5" w14:textId="682ADFC7" w:rsidR="002D4993" w:rsidRPr="002653A0" w:rsidRDefault="002D4993" w:rsidP="002653A0">
      <w:pPr>
        <w:pStyle w:val="Body"/>
        <w:numPr>
          <w:ilvl w:val="0"/>
          <w:numId w:val="0"/>
        </w:numPr>
        <w:rPr>
          <w:rFonts w:ascii="Times New Roman" w:hAnsi="Times New Roman"/>
        </w:rPr>
      </w:pPr>
      <w:r w:rsidRPr="009F208C">
        <w:rPr>
          <w:rFonts w:ascii="Times New Roman" w:hAnsi="Times New Roman"/>
          <w:sz w:val="22"/>
        </w:rPr>
        <w:t xml:space="preserve">The Cost Sharing Methodology covers costs incurred from using </w:t>
      </w:r>
      <w:proofErr w:type="spellStart"/>
      <w:r w:rsidRPr="009F208C">
        <w:rPr>
          <w:rFonts w:ascii="Times New Roman" w:hAnsi="Times New Roman"/>
          <w:sz w:val="22"/>
        </w:rPr>
        <w:t>redispatching</w:t>
      </w:r>
      <w:proofErr w:type="spellEnd"/>
      <w:r w:rsidRPr="009F208C">
        <w:rPr>
          <w:rFonts w:ascii="Times New Roman" w:hAnsi="Times New Roman"/>
          <w:sz w:val="22"/>
        </w:rPr>
        <w:t xml:space="preserve"> and countertrading measures of cross-border relevance to guarantee the firmness of cross-zonal capacity in accordance with article 74(4)b CACM Regulation and to ensure security of supply, which have been activated by </w:t>
      </w:r>
      <w:r w:rsidR="000E068F">
        <w:rPr>
          <w:rFonts w:ascii="Times New Roman" w:hAnsi="Times New Roman"/>
          <w:sz w:val="22"/>
        </w:rPr>
        <w:t>SEE CCR</w:t>
      </w:r>
      <w:r w:rsidRPr="009F208C">
        <w:rPr>
          <w:rFonts w:ascii="Times New Roman" w:hAnsi="Times New Roman"/>
          <w:sz w:val="22"/>
        </w:rPr>
        <w:t xml:space="preserve"> TSOs based on the </w:t>
      </w:r>
      <w:r w:rsidR="000E068F">
        <w:rPr>
          <w:rFonts w:ascii="Times New Roman" w:hAnsi="Times New Roman"/>
          <w:sz w:val="22"/>
        </w:rPr>
        <w:t>SEE CCR</w:t>
      </w:r>
      <w:r w:rsidRPr="009F208C">
        <w:rPr>
          <w:rFonts w:ascii="Times New Roman" w:hAnsi="Times New Roman"/>
          <w:sz w:val="22"/>
        </w:rPr>
        <w:t xml:space="preserve"> Coordinated </w:t>
      </w:r>
      <w:proofErr w:type="spellStart"/>
      <w:r w:rsidRPr="009F208C">
        <w:rPr>
          <w:rFonts w:ascii="Times New Roman" w:hAnsi="Times New Roman"/>
          <w:sz w:val="22"/>
        </w:rPr>
        <w:t>Redispatching</w:t>
      </w:r>
      <w:proofErr w:type="spellEnd"/>
      <w:r w:rsidRPr="009F208C">
        <w:rPr>
          <w:rFonts w:ascii="Times New Roman" w:hAnsi="Times New Roman"/>
          <w:sz w:val="22"/>
        </w:rPr>
        <w:t xml:space="preserve"> and Countertrading Methodology to solve congestions on critical network elements according to the </w:t>
      </w:r>
      <w:r w:rsidR="000E068F">
        <w:rPr>
          <w:rFonts w:ascii="Times New Roman" w:hAnsi="Times New Roman"/>
          <w:sz w:val="22"/>
        </w:rPr>
        <w:t>SEE CCR</w:t>
      </w:r>
      <w:r w:rsidRPr="009F208C">
        <w:rPr>
          <w:rFonts w:ascii="Times New Roman" w:hAnsi="Times New Roman"/>
          <w:sz w:val="22"/>
        </w:rPr>
        <w:t xml:space="preserve"> Capacity Calculation Methodology for the Day-Ahead and Intraday timeframes respectively.</w:t>
      </w:r>
    </w:p>
    <w:p w14:paraId="4A131FB9" w14:textId="61359642" w:rsidR="001B00F5" w:rsidRPr="00D515D3" w:rsidRDefault="001B00F5" w:rsidP="001B00F5">
      <w:pPr>
        <w:spacing w:before="400" w:after="120" w:line="340" w:lineRule="exact"/>
        <w:jc w:val="both"/>
        <w:outlineLvl w:val="0"/>
        <w:rPr>
          <w:rFonts w:cstheme="minorHAnsi"/>
          <w:color w:val="000000" w:themeColor="text1"/>
          <w:lang w:val="en-US"/>
        </w:rPr>
      </w:pPr>
      <w:r w:rsidRPr="001B00F5">
        <w:rPr>
          <w:rFonts w:cstheme="minorHAnsi"/>
          <w:color w:val="000000" w:themeColor="text1"/>
          <w:lang w:val="en-US"/>
        </w:rPr>
        <w:t>Eligible costs for cost-sharing ar</w:t>
      </w:r>
      <w:r>
        <w:rPr>
          <w:rFonts w:cstheme="minorHAnsi"/>
          <w:color w:val="000000" w:themeColor="text1"/>
          <w:lang w:val="en-US"/>
        </w:rPr>
        <w:t xml:space="preserve">rangements </w:t>
      </w:r>
      <w:r w:rsidRPr="001B00F5">
        <w:rPr>
          <w:rFonts w:cstheme="minorHAnsi"/>
          <w:color w:val="000000" w:themeColor="text1"/>
          <w:lang w:val="en-US"/>
        </w:rPr>
        <w:t xml:space="preserve">of this proposal are only those of countertrading or </w:t>
      </w:r>
      <w:proofErr w:type="spellStart"/>
      <w:r w:rsidRPr="001B00F5">
        <w:rPr>
          <w:rFonts w:cstheme="minorHAnsi"/>
          <w:color w:val="000000" w:themeColor="text1"/>
          <w:lang w:val="en-US"/>
        </w:rPr>
        <w:t>Redispatching</w:t>
      </w:r>
      <w:proofErr w:type="spellEnd"/>
      <w:r w:rsidRPr="001B00F5">
        <w:rPr>
          <w:rFonts w:cstheme="minorHAnsi"/>
          <w:color w:val="000000" w:themeColor="text1"/>
          <w:lang w:val="en-US"/>
        </w:rPr>
        <w:t xml:space="preserve"> measures implemented pursuan</w:t>
      </w:r>
      <w:r>
        <w:rPr>
          <w:rFonts w:cstheme="minorHAnsi"/>
          <w:color w:val="000000" w:themeColor="text1"/>
          <w:lang w:val="en-US"/>
        </w:rPr>
        <w:t xml:space="preserve">t to the “SEE RDCT </w:t>
      </w:r>
      <w:r w:rsidRPr="001B00F5">
        <w:rPr>
          <w:rFonts w:cstheme="minorHAnsi"/>
          <w:color w:val="000000" w:themeColor="text1"/>
          <w:lang w:val="en-US"/>
        </w:rPr>
        <w:t>Methodology” to solve a constraint on a critical network eleme</w:t>
      </w:r>
      <w:r w:rsidR="0030591F">
        <w:rPr>
          <w:rFonts w:cstheme="minorHAnsi"/>
          <w:color w:val="000000" w:themeColor="text1"/>
          <w:lang w:val="en-US"/>
        </w:rPr>
        <w:t>nt as defined in the SEE CCR</w:t>
      </w:r>
      <w:r w:rsidRPr="001B00F5">
        <w:rPr>
          <w:rFonts w:cstheme="minorHAnsi"/>
          <w:color w:val="000000" w:themeColor="text1"/>
          <w:lang w:val="en-US"/>
        </w:rPr>
        <w:t xml:space="preserve"> DA and ID CC Methodologies</w:t>
      </w:r>
      <w:r>
        <w:rPr>
          <w:rFonts w:cstheme="minorHAnsi"/>
          <w:color w:val="000000" w:themeColor="text1"/>
          <w:lang w:val="en-US"/>
        </w:rPr>
        <w:t xml:space="preserve"> in accordance to Article 35 of CACM GL. </w:t>
      </w:r>
    </w:p>
    <w:p w14:paraId="39609BE0" w14:textId="1414CBBB" w:rsidR="004122C6" w:rsidRDefault="004122C6" w:rsidP="004122C6">
      <w:pPr>
        <w:spacing w:before="400" w:after="120" w:line="340" w:lineRule="exact"/>
        <w:jc w:val="center"/>
        <w:outlineLvl w:val="0"/>
        <w:rPr>
          <w:rFonts w:cstheme="minorHAnsi"/>
          <w:b/>
          <w:color w:val="23236E" w:themeColor="text2"/>
          <w:sz w:val="24"/>
          <w:szCs w:val="28"/>
          <w:lang w:val="en-US"/>
        </w:rPr>
      </w:pPr>
      <w:r>
        <w:rPr>
          <w:rFonts w:cstheme="minorHAnsi"/>
          <w:b/>
          <w:color w:val="23236E" w:themeColor="text2"/>
          <w:sz w:val="24"/>
          <w:szCs w:val="28"/>
          <w:lang w:val="en-US"/>
        </w:rPr>
        <w:t>Article 4</w:t>
      </w:r>
      <w:r>
        <w:rPr>
          <w:rFonts w:cstheme="minorHAnsi"/>
          <w:b/>
          <w:color w:val="23236E" w:themeColor="text2"/>
          <w:sz w:val="24"/>
          <w:szCs w:val="28"/>
          <w:lang w:val="en-US"/>
        </w:rPr>
        <w:br/>
        <w:t>Real</w:t>
      </w:r>
      <w:r w:rsidR="00495CAF">
        <w:rPr>
          <w:rFonts w:cstheme="minorHAnsi"/>
          <w:b/>
          <w:color w:val="23236E" w:themeColor="text2"/>
          <w:sz w:val="24"/>
          <w:szCs w:val="28"/>
          <w:lang w:val="en-US"/>
        </w:rPr>
        <w:t>-</w:t>
      </w:r>
      <w:r>
        <w:rPr>
          <w:rFonts w:cstheme="minorHAnsi"/>
          <w:b/>
          <w:color w:val="23236E" w:themeColor="text2"/>
          <w:sz w:val="24"/>
          <w:szCs w:val="28"/>
          <w:lang w:val="en-US"/>
        </w:rPr>
        <w:t>time operation</w:t>
      </w:r>
    </w:p>
    <w:p w14:paraId="326DA187" w14:textId="77777777" w:rsidR="002653A0" w:rsidRDefault="002653A0" w:rsidP="002653A0">
      <w:pPr>
        <w:spacing w:line="340" w:lineRule="exact"/>
        <w:jc w:val="center"/>
        <w:outlineLvl w:val="0"/>
        <w:rPr>
          <w:rFonts w:cstheme="minorHAnsi"/>
          <w:b/>
          <w:color w:val="23236E" w:themeColor="text2"/>
          <w:sz w:val="24"/>
          <w:szCs w:val="28"/>
          <w:lang w:val="en-US"/>
        </w:rPr>
      </w:pPr>
    </w:p>
    <w:p w14:paraId="63AA369B" w14:textId="77777777" w:rsidR="001A0354" w:rsidRPr="00D515D3" w:rsidRDefault="001A0354" w:rsidP="0030591F">
      <w:pPr>
        <w:jc w:val="both"/>
        <w:rPr>
          <w:rFonts w:cstheme="minorHAnsi"/>
          <w:lang w:val="en-US"/>
        </w:rPr>
      </w:pPr>
      <w:r w:rsidRPr="00D515D3">
        <w:rPr>
          <w:rFonts w:cstheme="minorHAnsi"/>
          <w:lang w:val="en-US"/>
        </w:rPr>
        <w:t xml:space="preserve">The close to real-time period should be understood as the time from the last coordination based on CGM till the operational hour (i.e. CGM </w:t>
      </w:r>
      <w:proofErr w:type="gramStart"/>
      <w:r w:rsidRPr="00D515D3">
        <w:rPr>
          <w:rFonts w:cstheme="minorHAnsi"/>
          <w:lang w:val="en-US"/>
        </w:rPr>
        <w:t>are</w:t>
      </w:r>
      <w:proofErr w:type="gramEnd"/>
      <w:r w:rsidRPr="00D515D3">
        <w:rPr>
          <w:rFonts w:cstheme="minorHAnsi"/>
          <w:lang w:val="en-US"/>
        </w:rPr>
        <w:t xml:space="preserve"> no more updated). In that period each TSO shall use its own state estimation to perform operational security analysis in its observability area. Even within this period, cross-border relevant RA shall be coordinated with concern TSOs to the extent possible. </w:t>
      </w:r>
    </w:p>
    <w:p w14:paraId="13FDC7CE" w14:textId="77777777" w:rsidR="001A0354" w:rsidRPr="00D515D3" w:rsidRDefault="001A0354" w:rsidP="00111341">
      <w:pPr>
        <w:jc w:val="both"/>
        <w:rPr>
          <w:rFonts w:cstheme="minorHAnsi"/>
          <w:lang w:val="en-US"/>
        </w:rPr>
      </w:pPr>
    </w:p>
    <w:p w14:paraId="09E6E81B" w14:textId="77777777" w:rsidR="001A0354" w:rsidRPr="00D515D3" w:rsidRDefault="001A0354" w:rsidP="0030591F">
      <w:pPr>
        <w:jc w:val="both"/>
        <w:rPr>
          <w:rFonts w:cstheme="minorHAnsi"/>
          <w:lang w:val="en-US"/>
        </w:rPr>
      </w:pPr>
      <w:r w:rsidRPr="00D515D3">
        <w:rPr>
          <w:rFonts w:cstheme="minorHAnsi"/>
          <w:lang w:val="en-US"/>
        </w:rPr>
        <w:t xml:space="preserve">Each TSO shall abstain from unilateral or uncoordinated RA of cross-border relevance, which could endanger other TSOs grid, without giving the other TSO chances to react to the introduced RA. </w:t>
      </w:r>
    </w:p>
    <w:p w14:paraId="7A63051C" w14:textId="77777777" w:rsidR="001A0354" w:rsidRPr="00D515D3" w:rsidRDefault="001A0354" w:rsidP="00111341">
      <w:pPr>
        <w:jc w:val="both"/>
        <w:rPr>
          <w:rFonts w:cstheme="minorHAnsi"/>
          <w:lang w:val="en-US"/>
        </w:rPr>
      </w:pPr>
    </w:p>
    <w:p w14:paraId="43C7F0F1" w14:textId="4B1D9F9B" w:rsidR="001A0354" w:rsidRPr="00D515D3" w:rsidRDefault="001A0354" w:rsidP="0030591F">
      <w:pPr>
        <w:jc w:val="both"/>
        <w:rPr>
          <w:rFonts w:cstheme="minorHAnsi"/>
          <w:lang w:val="en-US"/>
        </w:rPr>
      </w:pPr>
      <w:r w:rsidRPr="00D515D3">
        <w:rPr>
          <w:rFonts w:cstheme="minorHAnsi"/>
          <w:lang w:val="en-US"/>
        </w:rPr>
        <w:lastRenderedPageBreak/>
        <w:t xml:space="preserve">In situations, where coordination is not possible (e.g. lack of time), the RAs to be used (e.g. to keep the system in n-1 secure state) should be selected as the most safest one for other grids </w:t>
      </w:r>
    </w:p>
    <w:p w14:paraId="76C9A47B" w14:textId="77777777" w:rsidR="001A0354" w:rsidRPr="00D515D3" w:rsidRDefault="001A0354" w:rsidP="00111341">
      <w:pPr>
        <w:jc w:val="both"/>
        <w:rPr>
          <w:rFonts w:cstheme="minorHAnsi"/>
          <w:lang w:val="en-US"/>
        </w:rPr>
      </w:pPr>
    </w:p>
    <w:p w14:paraId="30B80B81" w14:textId="5058C32F" w:rsidR="001A0354" w:rsidRPr="00D515D3" w:rsidRDefault="00111341" w:rsidP="0030591F">
      <w:pPr>
        <w:jc w:val="both"/>
        <w:rPr>
          <w:rFonts w:cstheme="minorHAnsi"/>
          <w:lang w:val="en-US"/>
        </w:rPr>
      </w:pPr>
      <w:r>
        <w:rPr>
          <w:rFonts w:cstheme="minorHAnsi"/>
          <w:lang w:val="en-US"/>
        </w:rPr>
        <w:t>I</w:t>
      </w:r>
      <w:r w:rsidR="001A0354" w:rsidRPr="00D515D3">
        <w:rPr>
          <w:rFonts w:cstheme="minorHAnsi"/>
          <w:lang w:val="en-US"/>
        </w:rPr>
        <w:t xml:space="preserve">f a TSO decides unilaterally to execute costly RAs during this period the TSO shall bear all the cost of the non-coordinated RAs (i.e. requester principle should apply). </w:t>
      </w:r>
    </w:p>
    <w:p w14:paraId="5A0005F1" w14:textId="77777777" w:rsidR="00426EB8" w:rsidRPr="00620817" w:rsidRDefault="00426EB8" w:rsidP="00620817">
      <w:pPr>
        <w:spacing w:before="400" w:after="120" w:line="340" w:lineRule="exact"/>
        <w:outlineLvl w:val="0"/>
        <w:rPr>
          <w:rFonts w:cstheme="minorHAnsi"/>
          <w:color w:val="23236E" w:themeColor="text2"/>
          <w:sz w:val="24"/>
          <w:szCs w:val="28"/>
          <w:lang w:val="en-US"/>
        </w:rPr>
      </w:pPr>
    </w:p>
    <w:p w14:paraId="560DCAE6" w14:textId="3357DBBF" w:rsidR="00B5799F" w:rsidRDefault="00B5799F" w:rsidP="00B5799F">
      <w:pPr>
        <w:spacing w:after="120" w:line="260" w:lineRule="exact"/>
        <w:jc w:val="center"/>
        <w:outlineLvl w:val="1"/>
        <w:rPr>
          <w:rFonts w:cstheme="minorHAnsi"/>
          <w:b/>
          <w:color w:val="23236E" w:themeColor="text2"/>
          <w:sz w:val="24"/>
          <w:szCs w:val="24"/>
          <w:lang w:val="en-US"/>
        </w:rPr>
      </w:pPr>
      <w:r w:rsidRPr="00D16C65">
        <w:rPr>
          <w:rFonts w:cstheme="minorHAnsi"/>
          <w:b/>
          <w:color w:val="23236E" w:themeColor="text2"/>
          <w:sz w:val="24"/>
          <w:szCs w:val="24"/>
          <w:lang w:val="en-US"/>
        </w:rPr>
        <w:t xml:space="preserve">Article </w:t>
      </w:r>
      <w:r w:rsidR="004122C6">
        <w:rPr>
          <w:rFonts w:cstheme="minorHAnsi"/>
          <w:b/>
          <w:color w:val="23236E" w:themeColor="text2"/>
          <w:sz w:val="24"/>
          <w:szCs w:val="24"/>
          <w:lang w:val="en-US"/>
        </w:rPr>
        <w:t>5</w:t>
      </w:r>
      <w:r w:rsidRPr="00D16C65">
        <w:rPr>
          <w:rFonts w:cstheme="minorHAnsi"/>
          <w:b/>
          <w:color w:val="23236E" w:themeColor="text2"/>
          <w:sz w:val="24"/>
          <w:szCs w:val="24"/>
          <w:lang w:val="en-US"/>
        </w:rPr>
        <w:br/>
      </w:r>
      <w:r w:rsidR="00530A0D">
        <w:rPr>
          <w:rFonts w:cstheme="minorHAnsi"/>
          <w:b/>
          <w:color w:val="23236E" w:themeColor="text2"/>
          <w:sz w:val="24"/>
          <w:szCs w:val="24"/>
          <w:lang w:val="en-US"/>
        </w:rPr>
        <w:t>Countertrading costs</w:t>
      </w:r>
    </w:p>
    <w:p w14:paraId="7B2AC251" w14:textId="77777777" w:rsidR="002653A0" w:rsidRDefault="002653A0" w:rsidP="00B5799F">
      <w:pPr>
        <w:spacing w:after="120" w:line="260" w:lineRule="exact"/>
        <w:jc w:val="center"/>
        <w:outlineLvl w:val="1"/>
        <w:rPr>
          <w:rFonts w:cstheme="minorHAnsi"/>
          <w:b/>
          <w:color w:val="23236E" w:themeColor="text2"/>
          <w:sz w:val="24"/>
          <w:szCs w:val="24"/>
          <w:lang w:val="en-US"/>
        </w:rPr>
      </w:pPr>
    </w:p>
    <w:p w14:paraId="103070CB" w14:textId="5F51A930" w:rsidR="005301BC" w:rsidRDefault="00AB02E3" w:rsidP="005301BC">
      <w:pPr>
        <w:spacing w:after="120" w:line="260" w:lineRule="exact"/>
        <w:outlineLvl w:val="1"/>
        <w:rPr>
          <w:rFonts w:eastAsia="Times New Roman" w:cstheme="minorHAnsi"/>
        </w:rPr>
      </w:pPr>
      <w:r w:rsidRPr="004F293D">
        <w:rPr>
          <w:rFonts w:eastAsia="Times New Roman" w:cstheme="minorHAnsi"/>
        </w:rPr>
        <w:t xml:space="preserve">Costs of countertrading shall be the incurred costs to solve a constraint, including </w:t>
      </w:r>
      <w:proofErr w:type="spellStart"/>
      <w:r w:rsidRPr="004F293D">
        <w:rPr>
          <w:rFonts w:eastAsia="Times New Roman" w:cstheme="minorHAnsi"/>
        </w:rPr>
        <w:t>imbalancing</w:t>
      </w:r>
      <w:proofErr w:type="spellEnd"/>
      <w:r w:rsidRPr="004F293D">
        <w:rPr>
          <w:rFonts w:eastAsia="Times New Roman" w:cstheme="minorHAnsi"/>
        </w:rPr>
        <w:t xml:space="preserve"> costs where relevant. Costs of countertrading shall be auditable and transparent.</w:t>
      </w:r>
    </w:p>
    <w:p w14:paraId="229C89E1" w14:textId="77777777" w:rsidR="00BB7D24" w:rsidRPr="005301BC" w:rsidRDefault="00BB7D24" w:rsidP="005301BC">
      <w:pPr>
        <w:spacing w:after="120" w:line="260" w:lineRule="exact"/>
        <w:outlineLvl w:val="1"/>
        <w:rPr>
          <w:rFonts w:cstheme="minorHAnsi"/>
          <w:color w:val="23236E" w:themeColor="text2"/>
          <w:sz w:val="24"/>
          <w:szCs w:val="24"/>
          <w:lang w:val="en-US"/>
        </w:rPr>
      </w:pPr>
    </w:p>
    <w:p w14:paraId="1451027E" w14:textId="77777777" w:rsidR="000F2BCE" w:rsidRPr="005B6009" w:rsidRDefault="000F2BCE" w:rsidP="002D2455">
      <w:pPr>
        <w:spacing w:after="120" w:line="259" w:lineRule="auto"/>
        <w:contextualSpacing/>
        <w:jc w:val="both"/>
        <w:rPr>
          <w:rFonts w:cstheme="minorHAnsi"/>
        </w:rPr>
      </w:pPr>
    </w:p>
    <w:p w14:paraId="551D7EF4" w14:textId="7CD879FB" w:rsidR="003E4A51" w:rsidRDefault="003E4A51" w:rsidP="00495CAF">
      <w:pPr>
        <w:spacing w:after="120" w:line="260" w:lineRule="exact"/>
        <w:jc w:val="center"/>
        <w:outlineLvl w:val="1"/>
        <w:rPr>
          <w:rFonts w:cstheme="minorHAnsi"/>
          <w:b/>
          <w:color w:val="23236E" w:themeColor="text2"/>
          <w:sz w:val="24"/>
          <w:szCs w:val="24"/>
          <w:lang w:val="en-US"/>
        </w:rPr>
      </w:pPr>
      <w:r w:rsidRPr="00D16C65">
        <w:rPr>
          <w:rFonts w:cstheme="minorHAnsi"/>
          <w:b/>
          <w:color w:val="23236E" w:themeColor="text2"/>
          <w:sz w:val="24"/>
          <w:szCs w:val="24"/>
          <w:lang w:val="en-US"/>
        </w:rPr>
        <w:t xml:space="preserve">Article </w:t>
      </w:r>
      <w:r w:rsidR="004122C6">
        <w:rPr>
          <w:rFonts w:cstheme="minorHAnsi"/>
          <w:b/>
          <w:color w:val="23236E" w:themeColor="text2"/>
          <w:sz w:val="24"/>
          <w:szCs w:val="24"/>
          <w:lang w:val="en-US"/>
        </w:rPr>
        <w:t>6</w:t>
      </w:r>
      <w:r w:rsidRPr="00D16C65">
        <w:rPr>
          <w:rFonts w:cstheme="minorHAnsi"/>
          <w:b/>
          <w:color w:val="23236E" w:themeColor="text2"/>
          <w:sz w:val="24"/>
          <w:szCs w:val="24"/>
          <w:lang w:val="en-US"/>
        </w:rPr>
        <w:br/>
      </w:r>
      <w:proofErr w:type="spellStart"/>
      <w:r w:rsidR="00530A0D">
        <w:rPr>
          <w:rFonts w:cstheme="minorHAnsi"/>
          <w:b/>
          <w:color w:val="23236E" w:themeColor="text2"/>
          <w:sz w:val="24"/>
          <w:szCs w:val="24"/>
          <w:lang w:val="en-US"/>
        </w:rPr>
        <w:t>Redispatching</w:t>
      </w:r>
      <w:proofErr w:type="spellEnd"/>
      <w:r w:rsidR="00530A0D">
        <w:rPr>
          <w:rFonts w:cstheme="minorHAnsi"/>
          <w:b/>
          <w:color w:val="23236E" w:themeColor="text2"/>
          <w:sz w:val="24"/>
          <w:szCs w:val="24"/>
          <w:lang w:val="en-US"/>
        </w:rPr>
        <w:t xml:space="preserve"> costs</w:t>
      </w:r>
      <w:r w:rsidR="008D4ED6" w:rsidRPr="00D16C65">
        <w:rPr>
          <w:rFonts w:cstheme="minorHAnsi"/>
          <w:b/>
          <w:color w:val="23236E" w:themeColor="text2"/>
          <w:sz w:val="24"/>
          <w:szCs w:val="24"/>
          <w:lang w:val="en-US"/>
        </w:rPr>
        <w:t xml:space="preserve"> </w:t>
      </w:r>
    </w:p>
    <w:p w14:paraId="6FE8AAEC" w14:textId="77777777" w:rsidR="00453B99" w:rsidRDefault="00453B99" w:rsidP="00BB7D24">
      <w:pPr>
        <w:spacing w:after="120" w:line="260" w:lineRule="exact"/>
        <w:jc w:val="both"/>
        <w:outlineLvl w:val="1"/>
        <w:rPr>
          <w:rFonts w:eastAsia="Times New Roman" w:cstheme="minorHAnsi"/>
        </w:rPr>
      </w:pPr>
    </w:p>
    <w:p w14:paraId="2D63E494" w14:textId="21752A09" w:rsidR="005301BC" w:rsidRDefault="00AB02E3" w:rsidP="00D515D3">
      <w:pPr>
        <w:spacing w:after="120" w:line="260" w:lineRule="exact"/>
        <w:jc w:val="both"/>
        <w:outlineLvl w:val="1"/>
        <w:rPr>
          <w:rFonts w:eastAsia="Times New Roman" w:cstheme="minorHAnsi"/>
        </w:rPr>
      </w:pPr>
      <w:r w:rsidRPr="004F293D">
        <w:rPr>
          <w:rFonts w:eastAsia="Times New Roman" w:cstheme="minorHAnsi"/>
        </w:rPr>
        <w:t xml:space="preserve">Costs of </w:t>
      </w:r>
      <w:proofErr w:type="spellStart"/>
      <w:r>
        <w:rPr>
          <w:rFonts w:eastAsia="Times New Roman" w:cstheme="minorHAnsi"/>
        </w:rPr>
        <w:t>redispatching</w:t>
      </w:r>
      <w:proofErr w:type="spellEnd"/>
      <w:r w:rsidRPr="004F293D">
        <w:rPr>
          <w:rFonts w:eastAsia="Times New Roman" w:cstheme="minorHAnsi"/>
        </w:rPr>
        <w:t xml:space="preserve"> shall be the incurred costs </w:t>
      </w:r>
      <w:r>
        <w:rPr>
          <w:rFonts w:eastAsia="Times New Roman" w:cstheme="minorHAnsi"/>
        </w:rPr>
        <w:t>to solve a constraint</w:t>
      </w:r>
      <w:r w:rsidRPr="004F293D">
        <w:rPr>
          <w:rFonts w:eastAsia="Times New Roman" w:cstheme="minorHAnsi"/>
        </w:rPr>
        <w:t xml:space="preserve">. </w:t>
      </w:r>
      <w:r>
        <w:rPr>
          <w:rFonts w:eastAsia="Times New Roman" w:cstheme="minorHAnsi"/>
        </w:rPr>
        <w:t xml:space="preserve">For matter of clarification, costs of </w:t>
      </w:r>
      <w:proofErr w:type="spellStart"/>
      <w:r>
        <w:rPr>
          <w:rFonts w:eastAsia="Times New Roman" w:cstheme="minorHAnsi"/>
        </w:rPr>
        <w:t>redispatching</w:t>
      </w:r>
      <w:proofErr w:type="spellEnd"/>
      <w:r>
        <w:rPr>
          <w:rFonts w:eastAsia="Times New Roman" w:cstheme="minorHAnsi"/>
        </w:rPr>
        <w:t xml:space="preserve"> shall include start-up costs</w:t>
      </w:r>
      <w:r w:rsidR="001676D5">
        <w:rPr>
          <w:rFonts w:eastAsia="Times New Roman" w:cstheme="minorHAnsi"/>
        </w:rPr>
        <w:t xml:space="preserve"> and shut-down costs</w:t>
      </w:r>
      <w:r>
        <w:rPr>
          <w:rFonts w:eastAsia="Times New Roman" w:cstheme="minorHAnsi"/>
        </w:rPr>
        <w:t xml:space="preserve"> where a generation unit has been started</w:t>
      </w:r>
      <w:r w:rsidR="001676D5">
        <w:rPr>
          <w:rFonts w:eastAsia="Times New Roman" w:cstheme="minorHAnsi"/>
        </w:rPr>
        <w:t xml:space="preserve"> or stopped respectively</w:t>
      </w:r>
      <w:r>
        <w:rPr>
          <w:rFonts w:eastAsia="Times New Roman" w:cstheme="minorHAnsi"/>
        </w:rPr>
        <w:t xml:space="preserve"> to solve exclusively </w:t>
      </w:r>
      <w:proofErr w:type="gramStart"/>
      <w:r>
        <w:rPr>
          <w:rFonts w:eastAsia="Times New Roman" w:cstheme="minorHAnsi"/>
        </w:rPr>
        <w:t>a congestion</w:t>
      </w:r>
      <w:proofErr w:type="gramEnd"/>
      <w:r>
        <w:rPr>
          <w:rFonts w:eastAsia="Times New Roman" w:cstheme="minorHAnsi"/>
        </w:rPr>
        <w:t xml:space="preserve"> on a CNEC at the time of the decision.</w:t>
      </w:r>
      <w:r w:rsidR="00CB419E" w:rsidRPr="00CB419E">
        <w:rPr>
          <w:rFonts w:eastAsia="Times New Roman" w:cstheme="minorHAnsi"/>
        </w:rPr>
        <w:t xml:space="preserve"> </w:t>
      </w:r>
      <w:r w:rsidR="00CB419E" w:rsidRPr="004F293D">
        <w:rPr>
          <w:rFonts w:eastAsia="Times New Roman" w:cstheme="minorHAnsi"/>
        </w:rPr>
        <w:t xml:space="preserve">Costs of </w:t>
      </w:r>
      <w:proofErr w:type="spellStart"/>
      <w:r w:rsidR="00CB419E">
        <w:rPr>
          <w:rFonts w:eastAsia="Times New Roman" w:cstheme="minorHAnsi"/>
        </w:rPr>
        <w:t>redispatch</w:t>
      </w:r>
      <w:r w:rsidR="00CB419E" w:rsidRPr="004F293D">
        <w:rPr>
          <w:rFonts w:eastAsia="Times New Roman" w:cstheme="minorHAnsi"/>
        </w:rPr>
        <w:t>ing</w:t>
      </w:r>
      <w:proofErr w:type="spellEnd"/>
      <w:r w:rsidR="00CB419E" w:rsidRPr="004F293D">
        <w:rPr>
          <w:rFonts w:eastAsia="Times New Roman" w:cstheme="minorHAnsi"/>
        </w:rPr>
        <w:t xml:space="preserve"> shall be auditable and transparent.</w:t>
      </w:r>
      <w:r w:rsidR="009434B7">
        <w:rPr>
          <w:rFonts w:eastAsia="Times New Roman" w:cstheme="minorHAnsi"/>
        </w:rPr>
        <w:t xml:space="preserve"> Revenues for TSOs, e.g. received for downward regulation, are treated in the same way like costs. TSOs have to report them in a transparent manner.</w:t>
      </w:r>
    </w:p>
    <w:p w14:paraId="4298F91C" w14:textId="6EC9A755" w:rsidR="009434B7" w:rsidRDefault="009434B7" w:rsidP="009434B7">
      <w:pPr>
        <w:spacing w:after="120" w:line="260" w:lineRule="exact"/>
        <w:jc w:val="both"/>
        <w:outlineLvl w:val="1"/>
        <w:rPr>
          <w:rFonts w:eastAsia="Times New Roman" w:cstheme="minorHAnsi"/>
        </w:rPr>
      </w:pPr>
      <w:r>
        <w:rPr>
          <w:rFonts w:eastAsia="Times New Roman" w:cstheme="minorHAnsi"/>
        </w:rPr>
        <w:t xml:space="preserve">All costs and revenues, which belong to </w:t>
      </w:r>
      <w:r w:rsidR="00D11AD1">
        <w:rPr>
          <w:rFonts w:eastAsia="Times New Roman" w:cstheme="minorHAnsi"/>
        </w:rPr>
        <w:t>one rem</w:t>
      </w:r>
      <w:r w:rsidR="001E288A">
        <w:rPr>
          <w:rFonts w:eastAsia="Times New Roman" w:cstheme="minorHAnsi"/>
        </w:rPr>
        <w:t>e</w:t>
      </w:r>
      <w:r w:rsidR="00D11AD1">
        <w:rPr>
          <w:rFonts w:eastAsia="Times New Roman" w:cstheme="minorHAnsi"/>
        </w:rPr>
        <w:t xml:space="preserve">dial action, will be summed up (netted) in order to get the total costs for each measure. The total costs are the starting point for cost sharing as </w:t>
      </w:r>
      <w:proofErr w:type="spellStart"/>
      <w:r w:rsidR="00D11AD1">
        <w:rPr>
          <w:rFonts w:eastAsia="Times New Roman" w:cstheme="minorHAnsi"/>
        </w:rPr>
        <w:t>decribed</w:t>
      </w:r>
      <w:proofErr w:type="spellEnd"/>
      <w:r w:rsidR="00D11AD1">
        <w:rPr>
          <w:rFonts w:eastAsia="Times New Roman" w:cstheme="minorHAnsi"/>
        </w:rPr>
        <w:t xml:space="preserve"> further below.</w:t>
      </w:r>
    </w:p>
    <w:p w14:paraId="053E8CD6" w14:textId="77777777" w:rsidR="00242F0D" w:rsidRDefault="00242F0D" w:rsidP="009434B7">
      <w:pPr>
        <w:spacing w:after="120" w:line="260" w:lineRule="exact"/>
        <w:jc w:val="both"/>
        <w:outlineLvl w:val="1"/>
        <w:rPr>
          <w:rFonts w:eastAsia="Times New Roman" w:cstheme="minorHAnsi"/>
        </w:rPr>
      </w:pPr>
    </w:p>
    <w:p w14:paraId="7ADA54C9" w14:textId="5F325608" w:rsidR="0067038F" w:rsidRDefault="0067038F" w:rsidP="0067038F">
      <w:pPr>
        <w:spacing w:after="120" w:line="260" w:lineRule="exact"/>
        <w:jc w:val="center"/>
        <w:outlineLvl w:val="1"/>
        <w:rPr>
          <w:rFonts w:cstheme="minorHAnsi"/>
          <w:b/>
          <w:color w:val="23236E" w:themeColor="text2"/>
          <w:sz w:val="24"/>
          <w:szCs w:val="24"/>
          <w:lang w:val="en-US"/>
        </w:rPr>
      </w:pPr>
      <w:r w:rsidRPr="00D16C65">
        <w:rPr>
          <w:rFonts w:cstheme="minorHAnsi"/>
          <w:b/>
          <w:color w:val="23236E" w:themeColor="text2"/>
          <w:sz w:val="24"/>
          <w:szCs w:val="24"/>
          <w:lang w:val="en-US"/>
        </w:rPr>
        <w:t xml:space="preserve">Article </w:t>
      </w:r>
      <w:r w:rsidR="004122C6">
        <w:rPr>
          <w:rFonts w:cstheme="minorHAnsi"/>
          <w:b/>
          <w:color w:val="23236E" w:themeColor="text2"/>
          <w:sz w:val="24"/>
          <w:szCs w:val="24"/>
          <w:lang w:val="en-US"/>
        </w:rPr>
        <w:t>7</w:t>
      </w:r>
      <w:r w:rsidRPr="00D16C65">
        <w:rPr>
          <w:rFonts w:cstheme="minorHAnsi"/>
          <w:b/>
          <w:color w:val="23236E" w:themeColor="text2"/>
          <w:sz w:val="24"/>
          <w:szCs w:val="24"/>
          <w:lang w:val="en-US"/>
        </w:rPr>
        <w:br/>
      </w:r>
      <w:r w:rsidR="00264751" w:rsidRPr="00D16C65">
        <w:rPr>
          <w:rFonts w:cstheme="minorHAnsi"/>
          <w:b/>
          <w:color w:val="23236E" w:themeColor="text2"/>
          <w:sz w:val="24"/>
          <w:szCs w:val="24"/>
          <w:lang w:val="en-US"/>
        </w:rPr>
        <w:t xml:space="preserve">Description of the </w:t>
      </w:r>
      <w:r w:rsidR="004122C6">
        <w:rPr>
          <w:rFonts w:cstheme="minorHAnsi"/>
          <w:b/>
          <w:color w:val="23236E" w:themeColor="text2"/>
          <w:sz w:val="24"/>
          <w:szCs w:val="24"/>
          <w:lang w:val="en-US"/>
        </w:rPr>
        <w:t>activation of costly remedial actions</w:t>
      </w:r>
    </w:p>
    <w:p w14:paraId="5F6FAD16" w14:textId="77777777" w:rsidR="00F07D33" w:rsidRDefault="00F07D33" w:rsidP="00792C65">
      <w:pPr>
        <w:rPr>
          <w:rFonts w:cstheme="minorHAnsi"/>
          <w:color w:val="23236E" w:themeColor="text2"/>
          <w:sz w:val="24"/>
          <w:szCs w:val="24"/>
          <w:lang w:val="en-US"/>
        </w:rPr>
      </w:pPr>
    </w:p>
    <w:p w14:paraId="4BCD2D95" w14:textId="49256469" w:rsidR="00F07D33" w:rsidRPr="00D515D3" w:rsidRDefault="002155AB" w:rsidP="001E7EA6">
      <w:pPr>
        <w:jc w:val="both"/>
        <w:rPr>
          <w:rFonts w:cstheme="minorHAnsi"/>
          <w:lang w:val="en-US"/>
        </w:rPr>
      </w:pPr>
      <w:r w:rsidRPr="00D515D3">
        <w:rPr>
          <w:rFonts w:cstheme="minorHAnsi"/>
          <w:lang w:val="en-US"/>
        </w:rPr>
        <w:t xml:space="preserve">The activation of the costly RA </w:t>
      </w:r>
      <w:proofErr w:type="spellStart"/>
      <w:r w:rsidRPr="00D515D3">
        <w:rPr>
          <w:rFonts w:cstheme="minorHAnsi"/>
          <w:lang w:val="en-US"/>
        </w:rPr>
        <w:t>condisered</w:t>
      </w:r>
      <w:proofErr w:type="spellEnd"/>
      <w:r w:rsidRPr="00D515D3">
        <w:rPr>
          <w:rFonts w:cstheme="minorHAnsi"/>
          <w:lang w:val="en-US"/>
        </w:rPr>
        <w:t xml:space="preserve"> in this Cost Sharing Methodol</w:t>
      </w:r>
      <w:r w:rsidR="001E288A">
        <w:rPr>
          <w:rFonts w:cstheme="minorHAnsi"/>
          <w:lang w:val="en-US"/>
        </w:rPr>
        <w:t>o</w:t>
      </w:r>
      <w:r w:rsidRPr="00D515D3">
        <w:rPr>
          <w:rFonts w:cstheme="minorHAnsi"/>
          <w:lang w:val="en-US"/>
        </w:rPr>
        <w:t xml:space="preserve">gy is described on </w:t>
      </w:r>
      <w:proofErr w:type="gramStart"/>
      <w:r w:rsidRPr="00D515D3">
        <w:rPr>
          <w:rFonts w:cstheme="minorHAnsi"/>
          <w:lang w:val="en-US"/>
        </w:rPr>
        <w:t>the  RD</w:t>
      </w:r>
      <w:r w:rsidR="00F07D33" w:rsidRPr="00D515D3">
        <w:rPr>
          <w:rFonts w:cstheme="minorHAnsi"/>
          <w:lang w:val="en-US"/>
        </w:rPr>
        <w:t>CT</w:t>
      </w:r>
      <w:proofErr w:type="gramEnd"/>
      <w:r w:rsidR="00F07D33" w:rsidRPr="00D515D3">
        <w:rPr>
          <w:rFonts w:cstheme="minorHAnsi"/>
          <w:lang w:val="en-US"/>
        </w:rPr>
        <w:t xml:space="preserve"> Methodology to be </w:t>
      </w:r>
      <w:proofErr w:type="spellStart"/>
      <w:r w:rsidR="00F07D33" w:rsidRPr="00D515D3">
        <w:rPr>
          <w:rFonts w:cstheme="minorHAnsi"/>
          <w:lang w:val="en-US"/>
        </w:rPr>
        <w:t>developped</w:t>
      </w:r>
      <w:proofErr w:type="spellEnd"/>
      <w:r w:rsidR="00F07D33" w:rsidRPr="00D515D3">
        <w:rPr>
          <w:rFonts w:cstheme="minorHAnsi"/>
          <w:lang w:val="en-US"/>
        </w:rPr>
        <w:t xml:space="preserve"> in accordance to</w:t>
      </w:r>
      <w:r w:rsidRPr="00D515D3">
        <w:rPr>
          <w:rFonts w:cstheme="minorHAnsi"/>
          <w:lang w:val="en-US"/>
        </w:rPr>
        <w:t xml:space="preserve"> the a</w:t>
      </w:r>
      <w:r w:rsidR="00F07D33" w:rsidRPr="00D515D3">
        <w:rPr>
          <w:rFonts w:cstheme="minorHAnsi"/>
          <w:lang w:val="en-US"/>
        </w:rPr>
        <w:t>rt</w:t>
      </w:r>
      <w:r w:rsidRPr="00D515D3">
        <w:rPr>
          <w:rFonts w:cstheme="minorHAnsi"/>
          <w:lang w:val="en-US"/>
        </w:rPr>
        <w:t>icle</w:t>
      </w:r>
      <w:r w:rsidR="00F07D33" w:rsidRPr="00D515D3">
        <w:rPr>
          <w:rFonts w:cstheme="minorHAnsi"/>
          <w:lang w:val="en-US"/>
        </w:rPr>
        <w:t xml:space="preserve"> 35</w:t>
      </w:r>
      <w:r w:rsidRPr="00D515D3">
        <w:rPr>
          <w:rFonts w:cstheme="minorHAnsi"/>
          <w:lang w:val="en-US"/>
        </w:rPr>
        <w:t xml:space="preserve"> of</w:t>
      </w:r>
      <w:r w:rsidR="00F07D33" w:rsidRPr="00D515D3">
        <w:rPr>
          <w:rFonts w:cstheme="minorHAnsi"/>
          <w:lang w:val="en-US"/>
        </w:rPr>
        <w:t xml:space="preserve"> CACM</w:t>
      </w:r>
      <w:r w:rsidRPr="00D515D3">
        <w:rPr>
          <w:rFonts w:cstheme="minorHAnsi"/>
          <w:lang w:val="en-US"/>
        </w:rPr>
        <w:t xml:space="preserve"> GL</w:t>
      </w:r>
      <w:r w:rsidR="00F07D33" w:rsidRPr="00D515D3">
        <w:rPr>
          <w:rFonts w:cstheme="minorHAnsi"/>
          <w:lang w:val="en-US"/>
        </w:rPr>
        <w:t>.</w:t>
      </w:r>
    </w:p>
    <w:p w14:paraId="0EE05F53" w14:textId="77777777" w:rsidR="002761FD" w:rsidRPr="00D515D3" w:rsidRDefault="002761FD" w:rsidP="001E7EA6">
      <w:pPr>
        <w:jc w:val="both"/>
        <w:rPr>
          <w:rFonts w:cstheme="minorHAnsi"/>
          <w:lang w:val="en-US"/>
        </w:rPr>
      </w:pPr>
    </w:p>
    <w:p w14:paraId="41F54B08" w14:textId="77777777" w:rsidR="00FE76CB" w:rsidRPr="00D515D3" w:rsidRDefault="00FC02CD" w:rsidP="001E7EA6">
      <w:pPr>
        <w:jc w:val="both"/>
        <w:rPr>
          <w:rFonts w:cstheme="minorHAnsi"/>
          <w:lang w:val="en-US"/>
        </w:rPr>
      </w:pPr>
      <w:r w:rsidRPr="00D515D3">
        <w:rPr>
          <w:rFonts w:cstheme="minorHAnsi"/>
          <w:lang w:val="en-US"/>
        </w:rPr>
        <w:t>The activation of the costly RA is preceded by the detection and the coordination process.</w:t>
      </w:r>
    </w:p>
    <w:p w14:paraId="64493D46" w14:textId="77777777" w:rsidR="00FE76CB" w:rsidRPr="00D515D3" w:rsidRDefault="00FE76CB" w:rsidP="001E7EA6">
      <w:pPr>
        <w:jc w:val="both"/>
        <w:rPr>
          <w:rFonts w:cstheme="minorHAnsi"/>
          <w:lang w:val="en-US"/>
        </w:rPr>
      </w:pPr>
    </w:p>
    <w:p w14:paraId="68C0813E" w14:textId="6038168A" w:rsidR="00FE76CB" w:rsidRPr="00D515D3" w:rsidRDefault="00FE76CB" w:rsidP="001E7EA6">
      <w:pPr>
        <w:jc w:val="both"/>
        <w:rPr>
          <w:rFonts w:cstheme="minorHAnsi"/>
          <w:lang w:val="en-US"/>
        </w:rPr>
      </w:pPr>
      <w:r w:rsidRPr="00D515D3">
        <w:rPr>
          <w:rFonts w:cstheme="minorHAnsi"/>
          <w:lang w:val="en-US"/>
        </w:rPr>
        <w:t xml:space="preserve">The detection of a physical congestion is based on the last CGM made </w:t>
      </w:r>
      <w:proofErr w:type="spellStart"/>
      <w:r w:rsidRPr="00D515D3">
        <w:rPr>
          <w:rFonts w:cstheme="minorHAnsi"/>
          <w:lang w:val="en-US"/>
        </w:rPr>
        <w:t>avalaible</w:t>
      </w:r>
      <w:proofErr w:type="spellEnd"/>
      <w:r w:rsidRPr="00D515D3">
        <w:rPr>
          <w:rFonts w:cstheme="minorHAnsi"/>
          <w:lang w:val="en-US"/>
        </w:rPr>
        <w:t xml:space="preserve"> by the relevant RSCs that will propose a (set of) non-costly/costly remedial action(s) in order to solve the congestion.</w:t>
      </w:r>
      <w:r w:rsidR="001E288A" w:rsidRPr="001E288A">
        <w:t xml:space="preserve"> </w:t>
      </w:r>
      <w:r w:rsidR="001E288A" w:rsidRPr="001E288A">
        <w:rPr>
          <w:rFonts w:cstheme="minorHAnsi"/>
          <w:lang w:val="en-US"/>
        </w:rPr>
        <w:t xml:space="preserve">The activation of costly remedial actions can be applied only after all available non-costly remedial actions are exhausted, as it </w:t>
      </w:r>
      <w:r w:rsidR="001E288A">
        <w:rPr>
          <w:rFonts w:cstheme="minorHAnsi"/>
          <w:lang w:val="en-US"/>
        </w:rPr>
        <w:t>is described in the “SEE</w:t>
      </w:r>
      <w:r w:rsidR="001E288A" w:rsidRPr="001E288A">
        <w:rPr>
          <w:rFonts w:cstheme="minorHAnsi"/>
          <w:lang w:val="en-US"/>
        </w:rPr>
        <w:t xml:space="preserve"> RD and CT Methodology”. Both measures are applied exclusively with an aim to ensure firmness of already allocated cross-zonal capacities during DA and I</w:t>
      </w:r>
      <w:r w:rsidR="001E288A">
        <w:rPr>
          <w:rFonts w:cstheme="minorHAnsi"/>
          <w:lang w:val="en-US"/>
        </w:rPr>
        <w:t>D timeframe in the SEE</w:t>
      </w:r>
      <w:r w:rsidR="001E288A" w:rsidRPr="001E288A">
        <w:rPr>
          <w:rFonts w:cstheme="minorHAnsi"/>
          <w:lang w:val="en-US"/>
        </w:rPr>
        <w:t xml:space="preserve"> CCR.</w:t>
      </w:r>
    </w:p>
    <w:p w14:paraId="59BA94A1" w14:textId="77777777" w:rsidR="00FE76CB" w:rsidRPr="00D515D3" w:rsidRDefault="00FE76CB" w:rsidP="001E7EA6">
      <w:pPr>
        <w:jc w:val="both"/>
        <w:rPr>
          <w:rFonts w:cstheme="minorHAnsi"/>
          <w:lang w:val="en-US"/>
        </w:rPr>
      </w:pPr>
    </w:p>
    <w:p w14:paraId="6FEB3ABB" w14:textId="6BD8BC0B" w:rsidR="007D1FFC" w:rsidRDefault="00FE76CB" w:rsidP="0030591F">
      <w:pPr>
        <w:jc w:val="both"/>
        <w:rPr>
          <w:rFonts w:cstheme="minorHAnsi"/>
          <w:lang w:val="en-US"/>
        </w:rPr>
      </w:pPr>
      <w:r w:rsidRPr="00D515D3">
        <w:rPr>
          <w:rFonts w:cstheme="minorHAnsi"/>
          <w:lang w:val="en-US"/>
        </w:rPr>
        <w:t xml:space="preserve">If RD or CT is selected, the coordination process begins amongst the impacted </w:t>
      </w:r>
      <w:proofErr w:type="gramStart"/>
      <w:r w:rsidR="00982354" w:rsidRPr="00D515D3">
        <w:rPr>
          <w:rFonts w:cstheme="minorHAnsi"/>
          <w:lang w:val="en-US"/>
        </w:rPr>
        <w:t xml:space="preserve">SEE </w:t>
      </w:r>
      <w:r w:rsidRPr="00D515D3">
        <w:rPr>
          <w:rFonts w:cstheme="minorHAnsi"/>
          <w:lang w:val="en-US"/>
        </w:rPr>
        <w:t xml:space="preserve"> TSO</w:t>
      </w:r>
      <w:r w:rsidR="009B0819" w:rsidRPr="00D515D3">
        <w:rPr>
          <w:rFonts w:cstheme="minorHAnsi"/>
          <w:lang w:val="en-US"/>
        </w:rPr>
        <w:t>s</w:t>
      </w:r>
      <w:proofErr w:type="gramEnd"/>
      <w:r w:rsidRPr="00D515D3">
        <w:rPr>
          <w:rFonts w:cstheme="minorHAnsi"/>
          <w:lang w:val="en-US"/>
        </w:rPr>
        <w:t xml:space="preserve"> and the relevant RSCs. By the end of the coordination process, the resources that are activated as RA are known</w:t>
      </w:r>
      <w:r w:rsidR="00EF4D13" w:rsidRPr="00D515D3">
        <w:rPr>
          <w:rFonts w:cstheme="minorHAnsi"/>
          <w:lang w:val="en-US"/>
        </w:rPr>
        <w:t>. In function of how the settlement process is done, the total</w:t>
      </w:r>
      <w:r w:rsidR="009B0819" w:rsidRPr="00D515D3">
        <w:rPr>
          <w:rFonts w:cstheme="minorHAnsi"/>
          <w:lang w:val="en-US"/>
        </w:rPr>
        <w:t xml:space="preserve"> cost of the RA will be </w:t>
      </w:r>
      <w:proofErr w:type="spellStart"/>
      <w:r w:rsidR="009B0819" w:rsidRPr="00D515D3">
        <w:rPr>
          <w:rFonts w:cstheme="minorHAnsi"/>
          <w:lang w:val="en-US"/>
        </w:rPr>
        <w:t>calculu</w:t>
      </w:r>
      <w:r w:rsidR="00EF4D13" w:rsidRPr="00D515D3">
        <w:rPr>
          <w:rFonts w:cstheme="minorHAnsi"/>
          <w:lang w:val="en-US"/>
        </w:rPr>
        <w:t>a</w:t>
      </w:r>
      <w:r w:rsidR="009B0819" w:rsidRPr="00D515D3">
        <w:rPr>
          <w:rFonts w:cstheme="minorHAnsi"/>
          <w:lang w:val="en-US"/>
        </w:rPr>
        <w:t>t</w:t>
      </w:r>
      <w:r w:rsidR="00EF4D13" w:rsidRPr="00D515D3">
        <w:rPr>
          <w:rFonts w:cstheme="minorHAnsi"/>
          <w:lang w:val="en-US"/>
        </w:rPr>
        <w:t>ed</w:t>
      </w:r>
      <w:proofErr w:type="spellEnd"/>
      <w:r w:rsidR="00EF4D13" w:rsidRPr="00D515D3">
        <w:rPr>
          <w:rFonts w:cstheme="minorHAnsi"/>
          <w:lang w:val="en-US"/>
        </w:rPr>
        <w:t xml:space="preserve"> and will be an input for this Cost Sharing Methodology. </w:t>
      </w:r>
    </w:p>
    <w:p w14:paraId="27136AEE" w14:textId="77777777" w:rsidR="00E57C16" w:rsidRDefault="00E57C16" w:rsidP="0030591F">
      <w:pPr>
        <w:jc w:val="both"/>
        <w:rPr>
          <w:rFonts w:cstheme="minorHAnsi"/>
          <w:lang w:val="en-US"/>
        </w:rPr>
      </w:pPr>
    </w:p>
    <w:p w14:paraId="6A3C0CDD" w14:textId="2092F827" w:rsidR="00FF135A" w:rsidRPr="00FF135A" w:rsidRDefault="00FF135A" w:rsidP="00FF135A">
      <w:pPr>
        <w:spacing w:before="400" w:after="120" w:line="340" w:lineRule="exact"/>
        <w:jc w:val="center"/>
        <w:outlineLvl w:val="0"/>
        <w:rPr>
          <w:rFonts w:cstheme="minorHAnsi"/>
          <w:b/>
          <w:color w:val="23236E" w:themeColor="text2"/>
          <w:sz w:val="24"/>
          <w:szCs w:val="28"/>
          <w:lang w:val="en-US"/>
        </w:rPr>
      </w:pPr>
      <w:r w:rsidRPr="00D16C65">
        <w:rPr>
          <w:rFonts w:cstheme="minorHAnsi"/>
          <w:b/>
          <w:color w:val="23236E" w:themeColor="text2"/>
          <w:sz w:val="24"/>
          <w:szCs w:val="28"/>
          <w:lang w:val="en-US"/>
        </w:rPr>
        <w:lastRenderedPageBreak/>
        <w:br/>
      </w:r>
      <w:r>
        <w:rPr>
          <w:rFonts w:ascii="Times New Roman" w:hAnsi="Times New Roman" w:cstheme="majorHAnsi"/>
          <w:b/>
          <w:color w:val="23236E" w:themeColor="text2"/>
          <w:sz w:val="24"/>
          <w:szCs w:val="28"/>
          <w:lang w:val="en-US"/>
        </w:rPr>
        <w:t>Cost-sharing methodology</w:t>
      </w:r>
    </w:p>
    <w:p w14:paraId="715B3BE5" w14:textId="18ADB51D" w:rsidR="00495CAF" w:rsidRDefault="00495CAF" w:rsidP="00FF135A">
      <w:pPr>
        <w:spacing w:after="120" w:line="260" w:lineRule="exact"/>
        <w:jc w:val="center"/>
        <w:outlineLvl w:val="1"/>
        <w:rPr>
          <w:rFonts w:cstheme="minorHAnsi"/>
          <w:b/>
          <w:color w:val="23236E" w:themeColor="text2"/>
          <w:sz w:val="24"/>
          <w:szCs w:val="24"/>
          <w:lang w:val="en-US"/>
        </w:rPr>
      </w:pPr>
      <w:r w:rsidRPr="00495CAF">
        <w:rPr>
          <w:rFonts w:cstheme="minorHAnsi"/>
          <w:b/>
          <w:color w:val="23236E" w:themeColor="text2"/>
          <w:sz w:val="24"/>
          <w:szCs w:val="24"/>
          <w:lang w:val="en-US"/>
        </w:rPr>
        <w:t>Article 8</w:t>
      </w:r>
      <w:r w:rsidRPr="00495CAF">
        <w:rPr>
          <w:rFonts w:cstheme="minorHAnsi"/>
          <w:b/>
          <w:color w:val="23236E" w:themeColor="text2"/>
          <w:sz w:val="24"/>
          <w:szCs w:val="24"/>
          <w:lang w:val="en-US"/>
        </w:rPr>
        <w:br/>
        <w:t>Flow decomposition methodology</w:t>
      </w:r>
    </w:p>
    <w:p w14:paraId="5BAE48A1" w14:textId="77777777" w:rsidR="00A34FC6" w:rsidRDefault="00A34FC6" w:rsidP="006E6F1D">
      <w:pPr>
        <w:spacing w:after="120" w:line="260" w:lineRule="exact"/>
        <w:outlineLvl w:val="1"/>
        <w:rPr>
          <w:rFonts w:cstheme="minorHAnsi"/>
          <w:sz w:val="24"/>
          <w:szCs w:val="24"/>
          <w:lang w:val="en-US"/>
        </w:rPr>
      </w:pPr>
    </w:p>
    <w:p w14:paraId="2FA37EBE" w14:textId="053F5792" w:rsidR="00A34FC6" w:rsidRPr="00D515D3" w:rsidRDefault="00A34FC6" w:rsidP="00A34FC6">
      <w:pPr>
        <w:spacing w:after="120" w:line="260" w:lineRule="exact"/>
        <w:outlineLvl w:val="1"/>
        <w:rPr>
          <w:rFonts w:cstheme="minorHAnsi"/>
          <w:lang w:val="en-US"/>
        </w:rPr>
      </w:pPr>
      <w:r w:rsidRPr="00D515D3">
        <w:rPr>
          <w:rFonts w:cstheme="minorHAnsi"/>
          <w:lang w:val="en-US"/>
        </w:rPr>
        <w:t xml:space="preserve">The flow decomposition methodology will be used, detailed description of the methodology can be found in the </w:t>
      </w:r>
      <w:r w:rsidR="00F277DE">
        <w:rPr>
          <w:rFonts w:cstheme="minorHAnsi"/>
          <w:lang w:val="en-US"/>
        </w:rPr>
        <w:t>explanatory note.</w:t>
      </w:r>
      <w:r w:rsidRPr="00D515D3">
        <w:rPr>
          <w:rFonts w:cstheme="minorHAnsi"/>
          <w:lang w:val="en-US"/>
        </w:rPr>
        <w:t xml:space="preserve"> </w:t>
      </w:r>
    </w:p>
    <w:p w14:paraId="3FE8125C" w14:textId="763A7A47" w:rsidR="00A34FC6" w:rsidRPr="00730146" w:rsidRDefault="00A34FC6" w:rsidP="00A34FC6">
      <w:pPr>
        <w:spacing w:after="120" w:line="260" w:lineRule="exact"/>
        <w:outlineLvl w:val="1"/>
        <w:rPr>
          <w:rFonts w:cstheme="minorHAnsi"/>
          <w:lang w:val="en-US"/>
        </w:rPr>
      </w:pPr>
      <w:r w:rsidRPr="00730146">
        <w:rPr>
          <w:rFonts w:cstheme="minorHAnsi"/>
          <w:lang w:val="en-US"/>
        </w:rPr>
        <w:t>The flows of a CNE are mainly:</w:t>
      </w:r>
    </w:p>
    <w:p w14:paraId="45151715" w14:textId="77777777" w:rsidR="00A34FC6" w:rsidRPr="00730146" w:rsidRDefault="00A34FC6" w:rsidP="00A34FC6">
      <w:pPr>
        <w:spacing w:after="120" w:line="260" w:lineRule="exact"/>
        <w:outlineLvl w:val="1"/>
        <w:rPr>
          <w:rFonts w:cstheme="minorHAnsi"/>
          <w:lang w:val="en-US"/>
        </w:rPr>
      </w:pPr>
    </w:p>
    <w:p w14:paraId="55235B4B" w14:textId="77777777" w:rsidR="00A34FC6" w:rsidRPr="00730146" w:rsidRDefault="00A34FC6" w:rsidP="00A34FC6">
      <w:pPr>
        <w:numPr>
          <w:ilvl w:val="0"/>
          <w:numId w:val="58"/>
        </w:numPr>
        <w:spacing w:after="120" w:line="260" w:lineRule="exact"/>
        <w:outlineLvl w:val="1"/>
        <w:rPr>
          <w:rFonts w:cstheme="minorHAnsi"/>
          <w:lang w:val="en-US"/>
        </w:rPr>
      </w:pPr>
      <w:r w:rsidRPr="00730146">
        <w:rPr>
          <w:rFonts w:cstheme="minorHAnsi"/>
          <w:lang w:val="en-US"/>
        </w:rPr>
        <w:t>Loop flows</w:t>
      </w:r>
    </w:p>
    <w:p w14:paraId="48721DD8" w14:textId="77777777" w:rsidR="00A34FC6" w:rsidRPr="00730146" w:rsidRDefault="00A34FC6" w:rsidP="00A34FC6">
      <w:pPr>
        <w:numPr>
          <w:ilvl w:val="0"/>
          <w:numId w:val="58"/>
        </w:numPr>
        <w:spacing w:after="120" w:line="260" w:lineRule="exact"/>
        <w:outlineLvl w:val="1"/>
        <w:rPr>
          <w:rFonts w:cstheme="minorHAnsi"/>
          <w:lang w:val="en-US"/>
        </w:rPr>
      </w:pPr>
      <w:r w:rsidRPr="00730146">
        <w:rPr>
          <w:rFonts w:cstheme="minorHAnsi"/>
          <w:lang w:val="en-US"/>
        </w:rPr>
        <w:t xml:space="preserve">Import/export flows and transit flows due to exchanges at borders not belonging to the CCR. </w:t>
      </w:r>
    </w:p>
    <w:p w14:paraId="73BB322C" w14:textId="27CFF827" w:rsidR="00A34FC6" w:rsidRDefault="00A34FC6" w:rsidP="00A34FC6">
      <w:pPr>
        <w:numPr>
          <w:ilvl w:val="0"/>
          <w:numId w:val="58"/>
        </w:numPr>
        <w:spacing w:after="120" w:line="260" w:lineRule="exact"/>
        <w:outlineLvl w:val="1"/>
        <w:rPr>
          <w:rFonts w:cstheme="minorHAnsi"/>
          <w:lang w:val="en-US"/>
        </w:rPr>
      </w:pPr>
      <w:r w:rsidRPr="00730146">
        <w:rPr>
          <w:rFonts w:cstheme="minorHAnsi"/>
          <w:lang w:val="en-US"/>
        </w:rPr>
        <w:t>Internal flows</w:t>
      </w:r>
    </w:p>
    <w:p w14:paraId="706FB506" w14:textId="77777777" w:rsidR="0030591F" w:rsidRPr="0030591F" w:rsidRDefault="0030591F" w:rsidP="0030591F">
      <w:pPr>
        <w:spacing w:after="120" w:line="260" w:lineRule="exact"/>
        <w:ind w:left="720"/>
        <w:outlineLvl w:val="1"/>
        <w:rPr>
          <w:rFonts w:cstheme="minorHAnsi"/>
          <w:lang w:val="en-US"/>
        </w:rPr>
      </w:pPr>
    </w:p>
    <w:p w14:paraId="377BB638" w14:textId="74B2D7E5" w:rsidR="00A34FC6" w:rsidRPr="00730146" w:rsidRDefault="00A34FC6" w:rsidP="0030591F">
      <w:pPr>
        <w:spacing w:after="120" w:line="260" w:lineRule="exact"/>
        <w:jc w:val="both"/>
        <w:outlineLvl w:val="1"/>
        <w:rPr>
          <w:rFonts w:cstheme="minorHAnsi"/>
          <w:lang w:val="en-US"/>
        </w:rPr>
      </w:pPr>
      <w:r w:rsidRPr="00730146">
        <w:rPr>
          <w:rFonts w:cstheme="minorHAnsi"/>
          <w:lang w:val="en-US"/>
        </w:rPr>
        <w:t xml:space="preserve">In order not to discriminate between internal and external flows, the internal flows split </w:t>
      </w:r>
      <w:r w:rsidR="00D407BA">
        <w:rPr>
          <w:rFonts w:cstheme="minorHAnsi"/>
          <w:lang w:val="en-US"/>
        </w:rPr>
        <w:t xml:space="preserve">additionally </w:t>
      </w:r>
      <w:r w:rsidRPr="00730146">
        <w:rPr>
          <w:rFonts w:cstheme="minorHAnsi"/>
          <w:lang w:val="en-US"/>
        </w:rPr>
        <w:t xml:space="preserve">into a share that is </w:t>
      </w:r>
      <w:r w:rsidR="00D407BA">
        <w:rPr>
          <w:rFonts w:cstheme="minorHAnsi"/>
          <w:lang w:val="en-US"/>
        </w:rPr>
        <w:t xml:space="preserve">being </w:t>
      </w:r>
      <w:r w:rsidRPr="00730146">
        <w:rPr>
          <w:rFonts w:cstheme="minorHAnsi"/>
          <w:lang w:val="en-US"/>
        </w:rPr>
        <w:t>us</w:t>
      </w:r>
      <w:r w:rsidR="00D407BA">
        <w:rPr>
          <w:rFonts w:cstheme="minorHAnsi"/>
          <w:lang w:val="en-US"/>
        </w:rPr>
        <w:t xml:space="preserve">ed in order to </w:t>
      </w:r>
      <w:r w:rsidRPr="00730146">
        <w:rPr>
          <w:rFonts w:cstheme="minorHAnsi"/>
          <w:lang w:val="en-US"/>
        </w:rPr>
        <w:t xml:space="preserve">  defined</w:t>
      </w:r>
      <w:r w:rsidR="00D407BA">
        <w:rPr>
          <w:rFonts w:cstheme="minorHAnsi"/>
          <w:lang w:val="en-US"/>
        </w:rPr>
        <w:t xml:space="preserve"> </w:t>
      </w:r>
      <w:proofErr w:type="gramStart"/>
      <w:r w:rsidR="00D407BA">
        <w:rPr>
          <w:rFonts w:cstheme="minorHAnsi"/>
          <w:lang w:val="en-US"/>
        </w:rPr>
        <w:t xml:space="preserve">a </w:t>
      </w:r>
      <w:r w:rsidRPr="00730146">
        <w:rPr>
          <w:rFonts w:cstheme="minorHAnsi"/>
          <w:lang w:val="en-US"/>
        </w:rPr>
        <w:t xml:space="preserve"> minimum</w:t>
      </w:r>
      <w:proofErr w:type="gramEnd"/>
      <w:r w:rsidRPr="00730146">
        <w:rPr>
          <w:rFonts w:cstheme="minorHAnsi"/>
          <w:lang w:val="en-US"/>
        </w:rPr>
        <w:t xml:space="preserve"> margin of the line </w:t>
      </w:r>
      <w:r w:rsidR="00D407BA">
        <w:rPr>
          <w:rFonts w:cstheme="minorHAnsi"/>
          <w:lang w:val="en-US"/>
        </w:rPr>
        <w:t xml:space="preserve">for cross border exchanges </w:t>
      </w:r>
      <w:r w:rsidRPr="00730146">
        <w:rPr>
          <w:rFonts w:cstheme="minorHAnsi"/>
          <w:lang w:val="en-US"/>
        </w:rPr>
        <w:t xml:space="preserve">and a share that is </w:t>
      </w:r>
      <w:r w:rsidR="00D407BA">
        <w:rPr>
          <w:rFonts w:cstheme="minorHAnsi"/>
          <w:lang w:val="en-US"/>
        </w:rPr>
        <w:t xml:space="preserve">being </w:t>
      </w:r>
      <w:r w:rsidRPr="00730146">
        <w:rPr>
          <w:rFonts w:cstheme="minorHAnsi"/>
          <w:lang w:val="en-US"/>
        </w:rPr>
        <w:t>us</w:t>
      </w:r>
      <w:r w:rsidR="00D407BA">
        <w:rPr>
          <w:rFonts w:cstheme="minorHAnsi"/>
          <w:lang w:val="en-US"/>
        </w:rPr>
        <w:t xml:space="preserve">ed for </w:t>
      </w:r>
      <w:r w:rsidRPr="00730146">
        <w:rPr>
          <w:rFonts w:cstheme="minorHAnsi"/>
          <w:lang w:val="en-US"/>
        </w:rPr>
        <w:t xml:space="preserve"> the remaining capacity of the line accepted for internal trades.</w:t>
      </w:r>
    </w:p>
    <w:p w14:paraId="200A5F7B" w14:textId="77777777" w:rsidR="00A34FC6" w:rsidRPr="00730146" w:rsidRDefault="00A34FC6" w:rsidP="0030591F">
      <w:pPr>
        <w:spacing w:after="120" w:line="260" w:lineRule="exact"/>
        <w:jc w:val="both"/>
        <w:outlineLvl w:val="1"/>
        <w:rPr>
          <w:rFonts w:cstheme="minorHAnsi"/>
          <w:lang w:val="en-US"/>
        </w:rPr>
      </w:pPr>
      <w:r w:rsidRPr="00730146">
        <w:rPr>
          <w:rFonts w:cstheme="minorHAnsi"/>
          <w:lang w:val="en-US"/>
        </w:rPr>
        <w:t xml:space="preserve">Regarding import/export flows, a distinction is necessary between TSOs within the CCR and flows originating from TSOs outside the CCR, because costs of RAs could not be allocated with a causation principle to those TSOs. </w:t>
      </w:r>
    </w:p>
    <w:p w14:paraId="48253835" w14:textId="4360CB9D" w:rsidR="00A34FC6" w:rsidRPr="00730146" w:rsidRDefault="00A34FC6" w:rsidP="0030591F">
      <w:pPr>
        <w:spacing w:after="120" w:line="260" w:lineRule="exact"/>
        <w:jc w:val="both"/>
        <w:outlineLvl w:val="1"/>
        <w:rPr>
          <w:rFonts w:cstheme="minorHAnsi"/>
          <w:lang w:val="en-US"/>
        </w:rPr>
      </w:pPr>
      <w:r w:rsidRPr="00730146">
        <w:rPr>
          <w:rFonts w:cstheme="minorHAnsi"/>
          <w:lang w:val="en-US"/>
        </w:rPr>
        <w:t>Sources (exporters) or sinks (importers) are both referred to as origins of flows. Once all partial flows have been identified, they shall be used to define the sharing keys</w:t>
      </w:r>
      <w:r w:rsidR="00D407BA">
        <w:rPr>
          <w:rFonts w:cstheme="minorHAnsi"/>
          <w:lang w:val="en-US"/>
        </w:rPr>
        <w:t xml:space="preserve"> </w:t>
      </w:r>
      <w:r w:rsidRPr="00730146">
        <w:rPr>
          <w:rFonts w:cstheme="minorHAnsi"/>
          <w:lang w:val="en-US"/>
        </w:rPr>
        <w:t xml:space="preserve">which shall be </w:t>
      </w:r>
      <w:r w:rsidR="00D407BA">
        <w:rPr>
          <w:rFonts w:cstheme="minorHAnsi"/>
          <w:lang w:val="en-US"/>
        </w:rPr>
        <w:t xml:space="preserve">primarily be </w:t>
      </w:r>
      <w:r w:rsidRPr="00730146">
        <w:rPr>
          <w:rFonts w:cstheme="minorHAnsi"/>
          <w:lang w:val="en-US"/>
        </w:rPr>
        <w:t xml:space="preserve">proportional to the aggravating impact of the flows caused by the bidding zones that TSO belongs to. Aggravating impact of flows caused by the bidding zone not belonging to a CCR would be socialized between the TSOs of the CCR. </w:t>
      </w:r>
    </w:p>
    <w:p w14:paraId="3E3B5083" w14:textId="0F89479F" w:rsidR="006D4BD5" w:rsidRPr="00730146" w:rsidRDefault="006D4BD5" w:rsidP="006D4BD5">
      <w:pPr>
        <w:rPr>
          <w:rFonts w:cstheme="minorHAnsi"/>
        </w:rPr>
      </w:pPr>
      <w:r w:rsidRPr="00730146">
        <w:rPr>
          <w:rFonts w:cstheme="minorHAnsi"/>
        </w:rPr>
        <w:t>The FLD method is able to correctly identify the contributions of the various flow types in the European transmission network, and:</w:t>
      </w:r>
    </w:p>
    <w:p w14:paraId="62ECDF16" w14:textId="77777777" w:rsidR="006D4BD5" w:rsidRPr="00730146" w:rsidRDefault="006D4BD5" w:rsidP="006D4BD5">
      <w:pPr>
        <w:rPr>
          <w:rFonts w:cstheme="minorHAnsi"/>
        </w:rPr>
      </w:pPr>
    </w:p>
    <w:p w14:paraId="048C854A" w14:textId="77777777" w:rsidR="006D4BD5" w:rsidRPr="00730146" w:rsidRDefault="006D4BD5" w:rsidP="006D4BD5">
      <w:pPr>
        <w:pStyle w:val="ListParagraph"/>
        <w:numPr>
          <w:ilvl w:val="0"/>
          <w:numId w:val="34"/>
        </w:numPr>
        <w:spacing w:after="120"/>
        <w:contextualSpacing/>
        <w:rPr>
          <w:rFonts w:asciiTheme="minorHAnsi" w:hAnsiTheme="minorHAnsi" w:cstheme="minorHAnsi"/>
        </w:rPr>
      </w:pPr>
      <w:r w:rsidRPr="00730146">
        <w:rPr>
          <w:rFonts w:asciiTheme="minorHAnsi" w:hAnsiTheme="minorHAnsi" w:cstheme="minorHAnsi"/>
        </w:rPr>
        <w:t>It obeys the commonly accepted proportional sharing principle</w:t>
      </w:r>
    </w:p>
    <w:p w14:paraId="1DE2173D" w14:textId="77777777" w:rsidR="006D4BD5" w:rsidRPr="00730146" w:rsidRDefault="006D4BD5" w:rsidP="006D4BD5">
      <w:pPr>
        <w:pStyle w:val="ListParagraph"/>
        <w:numPr>
          <w:ilvl w:val="0"/>
          <w:numId w:val="34"/>
        </w:numPr>
        <w:spacing w:after="120"/>
        <w:contextualSpacing/>
        <w:rPr>
          <w:rFonts w:asciiTheme="minorHAnsi" w:hAnsiTheme="minorHAnsi" w:cstheme="minorHAnsi"/>
        </w:rPr>
      </w:pPr>
      <w:r w:rsidRPr="00730146">
        <w:rPr>
          <w:rFonts w:asciiTheme="minorHAnsi" w:hAnsiTheme="minorHAnsi" w:cstheme="minorHAnsi"/>
        </w:rPr>
        <w:t>It can be applied on any network model</w:t>
      </w:r>
    </w:p>
    <w:p w14:paraId="05A25136" w14:textId="77777777" w:rsidR="006D4BD5" w:rsidRPr="00730146" w:rsidRDefault="006D4BD5" w:rsidP="006D4BD5">
      <w:pPr>
        <w:pStyle w:val="ListParagraph"/>
        <w:numPr>
          <w:ilvl w:val="0"/>
          <w:numId w:val="34"/>
        </w:numPr>
        <w:spacing w:after="120"/>
        <w:contextualSpacing/>
        <w:rPr>
          <w:rFonts w:asciiTheme="minorHAnsi" w:hAnsiTheme="minorHAnsi" w:cstheme="minorHAnsi"/>
        </w:rPr>
      </w:pPr>
      <w:r w:rsidRPr="00730146">
        <w:rPr>
          <w:rFonts w:asciiTheme="minorHAnsi" w:hAnsiTheme="minorHAnsi" w:cstheme="minorHAnsi"/>
        </w:rPr>
        <w:t>It is independent of slack bus location and GSK</w:t>
      </w:r>
    </w:p>
    <w:p w14:paraId="3F12341F" w14:textId="77777777" w:rsidR="006D4BD5" w:rsidRPr="00730146" w:rsidRDefault="006D4BD5" w:rsidP="006D4BD5">
      <w:pPr>
        <w:pStyle w:val="ListParagraph"/>
        <w:numPr>
          <w:ilvl w:val="0"/>
          <w:numId w:val="34"/>
        </w:numPr>
        <w:spacing w:after="120"/>
        <w:contextualSpacing/>
        <w:rPr>
          <w:rFonts w:asciiTheme="minorHAnsi" w:hAnsiTheme="minorHAnsi" w:cstheme="minorHAnsi"/>
        </w:rPr>
      </w:pPr>
      <w:r w:rsidRPr="00730146">
        <w:rPr>
          <w:rFonts w:asciiTheme="minorHAnsi" w:hAnsiTheme="minorHAnsi" w:cstheme="minorHAnsi"/>
        </w:rPr>
        <w:t>Its results are complaint with the physical properties of the network</w:t>
      </w:r>
    </w:p>
    <w:p w14:paraId="3866693F" w14:textId="77777777" w:rsidR="006D4BD5" w:rsidRPr="00730146" w:rsidRDefault="006D4BD5" w:rsidP="006D4BD5">
      <w:pPr>
        <w:pStyle w:val="ListParagraph"/>
        <w:numPr>
          <w:ilvl w:val="0"/>
          <w:numId w:val="34"/>
        </w:numPr>
        <w:spacing w:after="120"/>
        <w:contextualSpacing/>
        <w:rPr>
          <w:rFonts w:asciiTheme="minorHAnsi" w:hAnsiTheme="minorHAnsi" w:cstheme="minorHAnsi"/>
        </w:rPr>
      </w:pPr>
      <w:r w:rsidRPr="00730146">
        <w:rPr>
          <w:rFonts w:asciiTheme="minorHAnsi" w:hAnsiTheme="minorHAnsi" w:cstheme="minorHAnsi"/>
        </w:rPr>
        <w:t>It identifies also relieving and burdening flows</w:t>
      </w:r>
    </w:p>
    <w:p w14:paraId="6680101E" w14:textId="77777777" w:rsidR="000C0F52" w:rsidRDefault="000C0F52" w:rsidP="002653A0">
      <w:pPr>
        <w:spacing w:after="120" w:line="260" w:lineRule="exact"/>
        <w:outlineLvl w:val="1"/>
        <w:rPr>
          <w:rFonts w:cstheme="minorHAnsi"/>
          <w:b/>
          <w:color w:val="23236E" w:themeColor="text2"/>
          <w:sz w:val="24"/>
          <w:szCs w:val="24"/>
          <w:lang w:val="en-US"/>
        </w:rPr>
      </w:pPr>
    </w:p>
    <w:p w14:paraId="06F0CC2F" w14:textId="77777777" w:rsidR="002653A0" w:rsidRPr="00495CAF" w:rsidRDefault="002653A0" w:rsidP="00792C65">
      <w:pPr>
        <w:spacing w:after="120" w:line="260" w:lineRule="exact"/>
        <w:jc w:val="center"/>
        <w:outlineLvl w:val="1"/>
        <w:rPr>
          <w:rFonts w:cstheme="minorHAnsi"/>
          <w:b/>
          <w:color w:val="23236E" w:themeColor="text2"/>
          <w:sz w:val="24"/>
          <w:szCs w:val="24"/>
          <w:lang w:val="en-US"/>
        </w:rPr>
      </w:pPr>
    </w:p>
    <w:p w14:paraId="5E103C93" w14:textId="1AB42C77" w:rsidR="00FF135A" w:rsidRPr="00E65D68" w:rsidRDefault="00FF135A" w:rsidP="00FF135A">
      <w:pPr>
        <w:spacing w:after="120" w:line="260" w:lineRule="exact"/>
        <w:jc w:val="center"/>
        <w:outlineLvl w:val="1"/>
        <w:rPr>
          <w:rFonts w:cstheme="minorHAnsi"/>
          <w:b/>
          <w:color w:val="23236E" w:themeColor="text2"/>
          <w:sz w:val="24"/>
          <w:szCs w:val="24"/>
          <w:lang w:val="en-US"/>
        </w:rPr>
      </w:pPr>
      <w:r w:rsidRPr="00E65D68">
        <w:rPr>
          <w:rFonts w:cstheme="minorHAnsi"/>
          <w:b/>
          <w:color w:val="23236E" w:themeColor="text2"/>
          <w:sz w:val="24"/>
          <w:szCs w:val="24"/>
          <w:lang w:val="en-US"/>
        </w:rPr>
        <w:t xml:space="preserve">Article </w:t>
      </w:r>
      <w:r w:rsidR="001447CE">
        <w:rPr>
          <w:rFonts w:cstheme="minorHAnsi"/>
          <w:b/>
          <w:color w:val="23236E" w:themeColor="text2"/>
          <w:sz w:val="24"/>
          <w:szCs w:val="24"/>
          <w:lang w:val="en-US"/>
        </w:rPr>
        <w:t>9</w:t>
      </w:r>
      <w:r w:rsidRPr="00E65D68">
        <w:rPr>
          <w:rFonts w:cstheme="minorHAnsi"/>
          <w:b/>
          <w:color w:val="23236E" w:themeColor="text2"/>
          <w:sz w:val="24"/>
          <w:szCs w:val="24"/>
          <w:lang w:val="en-US"/>
        </w:rPr>
        <w:br/>
        <w:t>Causation principle</w:t>
      </w:r>
    </w:p>
    <w:p w14:paraId="09262DBD" w14:textId="77777777" w:rsidR="00E57C16" w:rsidRDefault="00E57C16" w:rsidP="009D1E67">
      <w:pPr>
        <w:pStyle w:val="ListParagraph"/>
        <w:spacing w:after="0"/>
        <w:rPr>
          <w:rFonts w:ascii="Times New Roman" w:hAnsi="Times New Roman"/>
          <w:szCs w:val="20"/>
        </w:rPr>
      </w:pPr>
    </w:p>
    <w:p w14:paraId="4774E340" w14:textId="77777777" w:rsidR="00E57C16" w:rsidRPr="009F208C" w:rsidRDefault="00E57C16" w:rsidP="002653A0">
      <w:pPr>
        <w:spacing w:after="120" w:line="260" w:lineRule="exact"/>
        <w:jc w:val="both"/>
        <w:outlineLvl w:val="1"/>
      </w:pPr>
      <w:r>
        <w:t xml:space="preserve">All costs that are eligible for cost sharing shall be borne according to the causation principle. </w:t>
      </w:r>
      <w:r w:rsidRPr="009F208C">
        <w:t xml:space="preserve">In order to identify the causer(s) of congestions, the flow decomposition methodology shall be applied, which decomposes the total flow on </w:t>
      </w:r>
      <w:r>
        <w:t>congested</w:t>
      </w:r>
      <w:r w:rsidRPr="009F208C">
        <w:t xml:space="preserve"> network element into different flow types. For each flow type, also the source and the sink area are identified as a result of the decomposition </w:t>
      </w:r>
      <w:r>
        <w:t>on a</w:t>
      </w:r>
      <w:r w:rsidRPr="009F208C">
        <w:t xml:space="preserve"> bidding zone</w:t>
      </w:r>
      <w:r>
        <w:t xml:space="preserve"> level</w:t>
      </w:r>
      <w:r w:rsidRPr="009F208C">
        <w:t xml:space="preserve">, where a certain flow starts or ends. </w:t>
      </w:r>
    </w:p>
    <w:p w14:paraId="0EFD5F5F" w14:textId="3CBAE018" w:rsidR="00E57C16" w:rsidRPr="00D22F8B" w:rsidRDefault="00E57C16" w:rsidP="00E57C16">
      <w:pPr>
        <w:pStyle w:val="ListParagraph"/>
        <w:spacing w:after="0"/>
        <w:rPr>
          <w:rFonts w:ascii="Times New Roman" w:hAnsi="Times New Roman"/>
          <w:szCs w:val="20"/>
        </w:rPr>
      </w:pPr>
      <w:r w:rsidRPr="00D22F8B">
        <w:rPr>
          <w:rFonts w:ascii="Times New Roman" w:hAnsi="Times New Roman"/>
          <w:szCs w:val="20"/>
        </w:rPr>
        <w:lastRenderedPageBreak/>
        <w:t xml:space="preserve">Basis for the application of the causation principle is the flow decomposition methodology as described in </w:t>
      </w:r>
      <w:r>
        <w:rPr>
          <w:rFonts w:ascii="Times New Roman" w:hAnsi="Times New Roman"/>
          <w:szCs w:val="20"/>
        </w:rPr>
        <w:t>the relevant explanatory note.</w:t>
      </w:r>
    </w:p>
    <w:p w14:paraId="1D9F5D76" w14:textId="77777777" w:rsidR="009D1E67" w:rsidRPr="00D22F8B" w:rsidRDefault="009D1E67" w:rsidP="009D1E67">
      <w:pPr>
        <w:pStyle w:val="ListParagraph"/>
        <w:spacing w:after="0"/>
        <w:rPr>
          <w:rFonts w:ascii="Times New Roman" w:hAnsi="Times New Roman"/>
          <w:szCs w:val="20"/>
        </w:rPr>
      </w:pPr>
    </w:p>
    <w:p w14:paraId="5C41061C" w14:textId="67537F47" w:rsidR="00D407BA" w:rsidRPr="00D22F8B" w:rsidRDefault="009D1E67" w:rsidP="00D407BA">
      <w:pPr>
        <w:pStyle w:val="ListParagraph"/>
        <w:spacing w:after="0"/>
        <w:rPr>
          <w:rFonts w:ascii="Times New Roman" w:hAnsi="Times New Roman"/>
          <w:szCs w:val="20"/>
        </w:rPr>
      </w:pPr>
      <w:r w:rsidRPr="00D22F8B">
        <w:rPr>
          <w:rFonts w:ascii="Times New Roman" w:hAnsi="Times New Roman"/>
          <w:szCs w:val="20"/>
        </w:rPr>
        <w:t>Only critical network elements which are relevant for the cost sharing with cross border relevance will be considered.</w:t>
      </w:r>
      <w:r w:rsidR="00D407BA" w:rsidRPr="00D407BA">
        <w:rPr>
          <w:rFonts w:ascii="Times New Roman" w:hAnsi="Times New Roman"/>
          <w:szCs w:val="20"/>
        </w:rPr>
        <w:t xml:space="preserve"> </w:t>
      </w:r>
      <w:r w:rsidR="00D407BA">
        <w:rPr>
          <w:rFonts w:ascii="Times New Roman" w:hAnsi="Times New Roman"/>
          <w:szCs w:val="20"/>
        </w:rPr>
        <w:t>Cost sharing shall only be applied on costly Remedial Actions with Cross-border relevance as defined in the RDCT Methodology.</w:t>
      </w:r>
    </w:p>
    <w:p w14:paraId="5625B6B5" w14:textId="77777777" w:rsidR="009D1E67" w:rsidRPr="00D22F8B" w:rsidRDefault="009D1E67" w:rsidP="009D1E67">
      <w:pPr>
        <w:pStyle w:val="ListParagraph"/>
        <w:spacing w:after="0"/>
        <w:rPr>
          <w:rFonts w:ascii="Times New Roman" w:hAnsi="Times New Roman"/>
          <w:color w:val="9EBF57" w:themeColor="accent6"/>
          <w:szCs w:val="20"/>
        </w:rPr>
      </w:pPr>
    </w:p>
    <w:p w14:paraId="7FDF16EA" w14:textId="407BBF2E" w:rsidR="009D1E67" w:rsidRPr="00D407BA" w:rsidRDefault="009D1E67" w:rsidP="00D407BA">
      <w:pPr>
        <w:pStyle w:val="ListParagraph"/>
        <w:spacing w:after="0"/>
        <w:ind w:left="720"/>
        <w:jc w:val="left"/>
        <w:rPr>
          <w:rFonts w:ascii="Times New Roman" w:hAnsi="Times New Roman"/>
          <w:b/>
          <w:szCs w:val="20"/>
          <w:u w:val="single"/>
        </w:rPr>
      </w:pPr>
      <w:r w:rsidRPr="00D407BA">
        <w:rPr>
          <w:rFonts w:ascii="Times New Roman" w:hAnsi="Times New Roman"/>
          <w:b/>
          <w:szCs w:val="20"/>
          <w:u w:val="single"/>
        </w:rPr>
        <w:t>Mapping of cost</w:t>
      </w:r>
      <w:r w:rsidR="00E85820" w:rsidRPr="00D407BA">
        <w:rPr>
          <w:rFonts w:ascii="Times New Roman" w:hAnsi="Times New Roman"/>
          <w:b/>
          <w:szCs w:val="20"/>
          <w:u w:val="single"/>
        </w:rPr>
        <w:t>s to</w:t>
      </w:r>
      <w:r w:rsidRPr="00D407BA">
        <w:rPr>
          <w:rFonts w:ascii="Times New Roman" w:hAnsi="Times New Roman"/>
          <w:b/>
          <w:szCs w:val="20"/>
          <w:u w:val="single"/>
        </w:rPr>
        <w:t xml:space="preserve"> critical network element</w:t>
      </w:r>
      <w:r w:rsidR="00E85820" w:rsidRPr="00D407BA">
        <w:rPr>
          <w:rFonts w:ascii="Times New Roman" w:hAnsi="Times New Roman"/>
          <w:b/>
          <w:szCs w:val="20"/>
          <w:u w:val="single"/>
        </w:rPr>
        <w:t>s</w:t>
      </w:r>
    </w:p>
    <w:p w14:paraId="2C7F150E" w14:textId="77777777" w:rsidR="009D1E67" w:rsidRPr="00D22F8B" w:rsidRDefault="009D1E67" w:rsidP="009D1E67">
      <w:pPr>
        <w:pStyle w:val="ListParagraph"/>
        <w:spacing w:after="0"/>
        <w:rPr>
          <w:rFonts w:ascii="Times New Roman" w:hAnsi="Times New Roman"/>
          <w:szCs w:val="20"/>
        </w:rPr>
      </w:pPr>
    </w:p>
    <w:p w14:paraId="22579247" w14:textId="77777777" w:rsidR="009D1E67" w:rsidRPr="00D22F8B" w:rsidRDefault="009D1E67" w:rsidP="009D1E67">
      <w:pPr>
        <w:pStyle w:val="ListParagraph"/>
        <w:spacing w:after="0"/>
        <w:rPr>
          <w:rFonts w:ascii="Times New Roman" w:hAnsi="Times New Roman"/>
          <w:szCs w:val="20"/>
        </w:rPr>
      </w:pPr>
      <w:r w:rsidRPr="00D22F8B">
        <w:rPr>
          <w:rFonts w:ascii="Times New Roman" w:hAnsi="Times New Roman"/>
          <w:szCs w:val="20"/>
        </w:rPr>
        <w:t xml:space="preserve">The costs of the </w:t>
      </w:r>
      <w:proofErr w:type="spellStart"/>
      <w:r w:rsidRPr="00D22F8B">
        <w:rPr>
          <w:rFonts w:ascii="Times New Roman" w:hAnsi="Times New Roman"/>
          <w:szCs w:val="20"/>
        </w:rPr>
        <w:t>redispatch</w:t>
      </w:r>
      <w:proofErr w:type="spellEnd"/>
      <w:r w:rsidRPr="00D22F8B">
        <w:rPr>
          <w:rFonts w:ascii="Times New Roman" w:hAnsi="Times New Roman"/>
          <w:szCs w:val="20"/>
        </w:rPr>
        <w:t xml:space="preserve"> measures with cross border relevance which are eligible for cost sharing are a necessary input for the causation principle. </w:t>
      </w:r>
    </w:p>
    <w:p w14:paraId="14937F9E" w14:textId="77777777" w:rsidR="009D1E67" w:rsidRPr="00D22F8B" w:rsidRDefault="009D1E67" w:rsidP="009D1E67">
      <w:pPr>
        <w:pStyle w:val="ListParagraph"/>
        <w:spacing w:after="0"/>
        <w:rPr>
          <w:rFonts w:ascii="Times New Roman" w:hAnsi="Times New Roman"/>
          <w:szCs w:val="20"/>
        </w:rPr>
      </w:pPr>
    </w:p>
    <w:p w14:paraId="7993915C" w14:textId="77777777" w:rsidR="009D1E67" w:rsidRDefault="009D1E67" w:rsidP="009D1E67">
      <w:pPr>
        <w:pStyle w:val="ListParagraph"/>
        <w:spacing w:after="0"/>
        <w:rPr>
          <w:rFonts w:ascii="Times New Roman" w:hAnsi="Times New Roman"/>
          <w:szCs w:val="20"/>
        </w:rPr>
      </w:pPr>
      <w:r w:rsidRPr="00D22F8B">
        <w:rPr>
          <w:rFonts w:ascii="Times New Roman" w:hAnsi="Times New Roman"/>
          <w:szCs w:val="20"/>
        </w:rPr>
        <w:t>The total costs (sum of costs eligible for cost sharing) will be split up per relevant critical network element. This is called: Mapping of cost per critical network element.</w:t>
      </w:r>
    </w:p>
    <w:p w14:paraId="0D4CCB0B" w14:textId="77777777" w:rsidR="004544C1" w:rsidRDefault="004544C1" w:rsidP="009D1E67">
      <w:pPr>
        <w:pStyle w:val="ListParagraph"/>
        <w:spacing w:after="0"/>
        <w:rPr>
          <w:rFonts w:ascii="Times New Roman" w:hAnsi="Times New Roman"/>
          <w:szCs w:val="20"/>
        </w:rPr>
      </w:pPr>
    </w:p>
    <w:p w14:paraId="612EDDCC" w14:textId="25F0AA3F" w:rsidR="000B1934" w:rsidRPr="00543156" w:rsidRDefault="009D1E67" w:rsidP="00543156">
      <w:pPr>
        <w:pStyle w:val="ListParagraph"/>
        <w:spacing w:after="0"/>
        <w:rPr>
          <w:rFonts w:ascii="Times New Roman" w:hAnsi="Times New Roman"/>
          <w:sz w:val="20"/>
          <w:szCs w:val="20"/>
        </w:rPr>
      </w:pPr>
      <w:r w:rsidRPr="00D22F8B">
        <w:rPr>
          <w:rFonts w:ascii="Times New Roman" w:hAnsi="Times New Roman"/>
          <w:noProof/>
          <w:lang w:eastAsia="en-GB"/>
        </w:rPr>
        <w:drawing>
          <wp:inline distT="0" distB="0" distL="0" distR="0" wp14:anchorId="1995CAED" wp14:editId="0AB2DB6A">
            <wp:extent cx="5532699" cy="1948150"/>
            <wp:effectExtent l="0" t="0" r="0" b="0"/>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32952" cy="1948239"/>
                    </a:xfrm>
                    <a:prstGeom prst="rect">
                      <a:avLst/>
                    </a:prstGeom>
                  </pic:spPr>
                </pic:pic>
              </a:graphicData>
            </a:graphic>
          </wp:inline>
        </w:drawing>
      </w:r>
    </w:p>
    <w:p w14:paraId="5DFFCDF9" w14:textId="4D57B1AD" w:rsidR="000B1934" w:rsidRPr="00D22F8B" w:rsidRDefault="000B1934" w:rsidP="009D1E67">
      <w:pPr>
        <w:rPr>
          <w:rFonts w:ascii="Times New Roman" w:eastAsia="Calibri" w:hAnsi="Times New Roman" w:cs="Times New Roman"/>
          <w:b/>
          <w:sz w:val="20"/>
          <w:szCs w:val="20"/>
          <w:lang w:val="en-US"/>
        </w:rPr>
      </w:pPr>
    </w:p>
    <w:p w14:paraId="64203EAA" w14:textId="33DDE130" w:rsidR="009D1E67" w:rsidRDefault="009D1E67" w:rsidP="009D1E67">
      <w:pPr>
        <w:pStyle w:val="ListParagraph"/>
        <w:spacing w:after="0"/>
        <w:rPr>
          <w:rFonts w:ascii="Times New Roman" w:hAnsi="Times New Roman"/>
          <w:b/>
          <w:sz w:val="20"/>
          <w:szCs w:val="20"/>
        </w:rPr>
      </w:pPr>
    </w:p>
    <w:p w14:paraId="0C5960E8" w14:textId="4CE7AC5D" w:rsidR="00730146" w:rsidRDefault="00730146" w:rsidP="002653A0">
      <w:pPr>
        <w:pStyle w:val="ListParagraph"/>
        <w:spacing w:after="0"/>
        <w:jc w:val="center"/>
        <w:rPr>
          <w:rFonts w:asciiTheme="minorHAnsi" w:hAnsiTheme="minorHAnsi" w:cstheme="minorHAnsi"/>
          <w:b/>
        </w:rPr>
      </w:pPr>
      <w:r w:rsidRPr="00257C56">
        <w:rPr>
          <w:rFonts w:asciiTheme="minorHAnsi" w:hAnsiTheme="minorHAnsi" w:cstheme="minorHAnsi"/>
          <w:b/>
        </w:rPr>
        <w:t>Figure 1</w:t>
      </w:r>
    </w:p>
    <w:p w14:paraId="6AE1F9E8" w14:textId="77777777" w:rsidR="00730146" w:rsidRPr="00257C56" w:rsidRDefault="00730146" w:rsidP="009D1E67">
      <w:pPr>
        <w:pStyle w:val="ListParagraph"/>
        <w:spacing w:after="0"/>
        <w:rPr>
          <w:rFonts w:asciiTheme="minorHAnsi" w:hAnsiTheme="minorHAnsi" w:cstheme="minorHAnsi"/>
          <w:b/>
        </w:rPr>
      </w:pPr>
    </w:p>
    <w:p w14:paraId="572AA0B9" w14:textId="6EDFC5DA" w:rsidR="009D1E67" w:rsidRPr="007A6336" w:rsidRDefault="009D1E67" w:rsidP="009D1E67">
      <w:pPr>
        <w:rPr>
          <w:rFonts w:ascii="Times New Roman" w:hAnsi="Times New Roman" w:cs="Times New Roman"/>
          <w:color w:val="9EBF57" w:themeColor="accent6"/>
          <w:szCs w:val="20"/>
        </w:rPr>
      </w:pPr>
    </w:p>
    <w:p w14:paraId="088E45AA" w14:textId="736B1DA5" w:rsidR="00A12E44" w:rsidRDefault="00E85820" w:rsidP="009D1E67">
      <w:pPr>
        <w:pStyle w:val="ListParagraph"/>
        <w:spacing w:after="0"/>
        <w:rPr>
          <w:rFonts w:ascii="Times New Roman" w:hAnsi="Times New Roman"/>
          <w:szCs w:val="20"/>
        </w:rPr>
      </w:pPr>
      <w:r>
        <w:rPr>
          <w:rFonts w:ascii="Times New Roman" w:hAnsi="Times New Roman"/>
          <w:szCs w:val="20"/>
        </w:rPr>
        <w:t xml:space="preserve">Flows on each critical network element shall be decomposed using </w:t>
      </w:r>
      <w:r w:rsidR="009936B7">
        <w:rPr>
          <w:rFonts w:ascii="Times New Roman" w:hAnsi="Times New Roman"/>
          <w:szCs w:val="20"/>
        </w:rPr>
        <w:t xml:space="preserve">the flow </w:t>
      </w:r>
      <w:proofErr w:type="gramStart"/>
      <w:r w:rsidR="009936B7">
        <w:rPr>
          <w:rFonts w:ascii="Times New Roman" w:hAnsi="Times New Roman"/>
          <w:szCs w:val="20"/>
        </w:rPr>
        <w:t xml:space="preserve">decomposition </w:t>
      </w:r>
      <w:r>
        <w:rPr>
          <w:rFonts w:ascii="Times New Roman" w:hAnsi="Times New Roman"/>
          <w:szCs w:val="20"/>
        </w:rPr>
        <w:t xml:space="preserve"> method</w:t>
      </w:r>
      <w:proofErr w:type="gramEnd"/>
      <w:r>
        <w:rPr>
          <w:rFonts w:ascii="Times New Roman" w:hAnsi="Times New Roman"/>
          <w:szCs w:val="20"/>
        </w:rPr>
        <w:t xml:space="preserve"> </w:t>
      </w:r>
      <w:r w:rsidR="009D1E67" w:rsidRPr="00D22F8B">
        <w:rPr>
          <w:rFonts w:ascii="Times New Roman" w:hAnsi="Times New Roman"/>
          <w:szCs w:val="20"/>
        </w:rPr>
        <w:t>The decomposed flows per critical network element (result of the flow decomposition) will be assigned to the flows relevant for cost sharing. In other words, based on the results of the flow decomposition the relevant flows for cost sharing with cross border relevance will be identified.</w:t>
      </w:r>
      <w:r w:rsidR="00C14B11">
        <w:rPr>
          <w:rFonts w:ascii="Times New Roman" w:hAnsi="Times New Roman"/>
          <w:szCs w:val="20"/>
        </w:rPr>
        <w:t xml:space="preserve"> </w:t>
      </w:r>
      <w:r w:rsidR="00742379">
        <w:rPr>
          <w:rFonts w:ascii="Times New Roman" w:hAnsi="Times New Roman"/>
          <w:szCs w:val="20"/>
        </w:rPr>
        <w:t>In addition, flows can also be split in order to give priority only to a certain share of a flow type (e.g. internal flows below a certain threshold).</w:t>
      </w:r>
      <w:r>
        <w:rPr>
          <w:rFonts w:ascii="Times New Roman" w:hAnsi="Times New Roman"/>
          <w:szCs w:val="20"/>
        </w:rPr>
        <w:t xml:space="preserve"> </w:t>
      </w:r>
    </w:p>
    <w:p w14:paraId="00E89B86" w14:textId="21199011" w:rsidR="009D1E67" w:rsidRPr="00D22F8B" w:rsidRDefault="009D1E67" w:rsidP="009D1E67">
      <w:pPr>
        <w:pStyle w:val="ListParagraph"/>
        <w:spacing w:after="0"/>
        <w:rPr>
          <w:rFonts w:ascii="Times New Roman" w:hAnsi="Times New Roman"/>
          <w:szCs w:val="20"/>
        </w:rPr>
      </w:pPr>
    </w:p>
    <w:p w14:paraId="76A3270A" w14:textId="77777777" w:rsidR="009D1E67" w:rsidRDefault="009D1E67" w:rsidP="009D1E67">
      <w:pPr>
        <w:pStyle w:val="ListParagraph"/>
        <w:spacing w:after="0"/>
        <w:rPr>
          <w:rFonts w:ascii="Times New Roman" w:hAnsi="Times New Roman"/>
          <w:szCs w:val="20"/>
        </w:rPr>
      </w:pPr>
    </w:p>
    <w:p w14:paraId="07E90654" w14:textId="559D7F78" w:rsidR="00543156" w:rsidRPr="00D515D3" w:rsidRDefault="007920C7" w:rsidP="00257C56">
      <w:pPr>
        <w:pStyle w:val="ListParagraph"/>
        <w:spacing w:after="0"/>
        <w:ind w:left="720"/>
        <w:rPr>
          <w:rFonts w:ascii="Times New Roman" w:hAnsi="Times New Roman"/>
          <w:b/>
          <w:szCs w:val="20"/>
        </w:rPr>
      </w:pPr>
      <w:r w:rsidRPr="00D515D3">
        <w:rPr>
          <w:rFonts w:ascii="Times New Roman" w:hAnsi="Times New Roman"/>
          <w:b/>
          <w:szCs w:val="20"/>
        </w:rPr>
        <w:t xml:space="preserve">Causation principles based on prioritization of flows </w:t>
      </w:r>
    </w:p>
    <w:p w14:paraId="230E8930" w14:textId="77777777" w:rsidR="00CE41F6" w:rsidRDefault="00CE41F6" w:rsidP="00242F0D">
      <w:pPr>
        <w:rPr>
          <w:lang w:val="en-US"/>
        </w:rPr>
      </w:pPr>
    </w:p>
    <w:p w14:paraId="3C086613" w14:textId="4A4DA82D" w:rsidR="006D3196" w:rsidRPr="00D515D3" w:rsidRDefault="006D3196" w:rsidP="00242F0D">
      <w:pPr>
        <w:rPr>
          <w:lang w:val="en-US"/>
        </w:rPr>
      </w:pPr>
      <w:r w:rsidRPr="00D515D3">
        <w:rPr>
          <w:lang w:val="en-US"/>
        </w:rPr>
        <w:t xml:space="preserve">In case an overload above the technical admissible limit on a CNE is detected, RAs are identified to reduce the loading of this line. At certain point in time, those RAs will have to be activated. The related costs of these RAs need to be covered by the causing TSOs. </w:t>
      </w:r>
    </w:p>
    <w:p w14:paraId="3542FE48" w14:textId="77777777" w:rsidR="006D3196" w:rsidRPr="00D515D3" w:rsidRDefault="006D3196" w:rsidP="00242F0D">
      <w:pPr>
        <w:rPr>
          <w:lang w:val="en-US"/>
        </w:rPr>
      </w:pPr>
    </w:p>
    <w:p w14:paraId="1ECA0ACF" w14:textId="2940C7F0" w:rsidR="006D3196" w:rsidRPr="00D515D3" w:rsidRDefault="006D3196" w:rsidP="00242F0D">
      <w:pPr>
        <w:rPr>
          <w:lang w:val="en-US"/>
        </w:rPr>
      </w:pPr>
      <w:r w:rsidRPr="00D515D3">
        <w:rPr>
          <w:lang w:val="en-US"/>
        </w:rPr>
        <w:t>The causers of those flows above the technical limits of the CNE have to share the cost of the RAs in proportion to their share of the MW above the limit.</w:t>
      </w:r>
    </w:p>
    <w:p w14:paraId="72F4FFDB" w14:textId="77777777" w:rsidR="006D3196" w:rsidRPr="00D515D3" w:rsidRDefault="006D3196" w:rsidP="00242F0D">
      <w:pPr>
        <w:rPr>
          <w:lang w:val="en-US"/>
        </w:rPr>
      </w:pPr>
    </w:p>
    <w:p w14:paraId="2A13DE9F" w14:textId="163002D0" w:rsidR="007920C7" w:rsidRPr="00D515D3" w:rsidRDefault="00CF7F57" w:rsidP="00242F0D">
      <w:pPr>
        <w:rPr>
          <w:lang w:val="en-US"/>
        </w:rPr>
      </w:pPr>
      <w:r w:rsidRPr="00D515D3">
        <w:rPr>
          <w:lang w:val="en-US"/>
        </w:rPr>
        <w:t>In general, t</w:t>
      </w:r>
      <w:r w:rsidR="007920C7" w:rsidRPr="00D515D3">
        <w:rPr>
          <w:lang w:val="en-US"/>
        </w:rPr>
        <w:t>he costs of the activated RA can be distributed</w:t>
      </w:r>
      <w:r w:rsidR="002A1C81" w:rsidRPr="00D515D3">
        <w:rPr>
          <w:lang w:val="en-US"/>
        </w:rPr>
        <w:t xml:space="preserve"> to causers of the different flows</w:t>
      </w:r>
      <w:r w:rsidR="007920C7" w:rsidRPr="00D515D3">
        <w:rPr>
          <w:lang w:val="en-US"/>
        </w:rPr>
        <w:t xml:space="preserve"> according to the following prioritization principle</w:t>
      </w:r>
      <w:r w:rsidR="002A1C81" w:rsidRPr="00D515D3">
        <w:rPr>
          <w:lang w:val="en-US"/>
        </w:rPr>
        <w:t>,</w:t>
      </w:r>
      <w:r w:rsidR="007920C7" w:rsidRPr="00D515D3">
        <w:rPr>
          <w:lang w:val="en-US"/>
        </w:rPr>
        <w:t xml:space="preserve"> by starting from the total loading of the CNE and going down to the technical limit</w:t>
      </w:r>
      <w:r w:rsidR="002A1C81" w:rsidRPr="00D515D3">
        <w:rPr>
          <w:lang w:val="en-US"/>
        </w:rPr>
        <w:t>:</w:t>
      </w:r>
      <w:r w:rsidR="007920C7" w:rsidRPr="00D515D3">
        <w:rPr>
          <w:lang w:val="en-US"/>
        </w:rPr>
        <w:t xml:space="preserve"> </w:t>
      </w:r>
    </w:p>
    <w:p w14:paraId="51116C54" w14:textId="77777777" w:rsidR="007920C7" w:rsidRPr="00D515D3" w:rsidRDefault="007920C7" w:rsidP="00242F0D">
      <w:pPr>
        <w:rPr>
          <w:lang w:val="en-US"/>
        </w:rPr>
      </w:pPr>
    </w:p>
    <w:p w14:paraId="7442EFA0" w14:textId="1B9A6C45" w:rsidR="007920C7" w:rsidRPr="00730146" w:rsidRDefault="007920C7" w:rsidP="00730146">
      <w:pPr>
        <w:pStyle w:val="textregular"/>
        <w:numPr>
          <w:ilvl w:val="0"/>
          <w:numId w:val="56"/>
        </w:numPr>
        <w:spacing w:line="276" w:lineRule="auto"/>
        <w:jc w:val="both"/>
        <w:rPr>
          <w:lang w:val="en-US"/>
        </w:rPr>
      </w:pPr>
      <w:r w:rsidRPr="00730146">
        <w:rPr>
          <w:lang w:val="en-US"/>
        </w:rPr>
        <w:lastRenderedPageBreak/>
        <w:t xml:space="preserve">burdening loop flows </w:t>
      </w:r>
    </w:p>
    <w:p w14:paraId="6BBBFADA" w14:textId="77D44949" w:rsidR="007920C7" w:rsidRPr="00730146" w:rsidRDefault="007920C7" w:rsidP="00730146">
      <w:pPr>
        <w:pStyle w:val="textregular"/>
        <w:numPr>
          <w:ilvl w:val="0"/>
          <w:numId w:val="56"/>
        </w:numPr>
        <w:spacing w:line="276" w:lineRule="auto"/>
        <w:jc w:val="both"/>
        <w:rPr>
          <w:lang w:val="en-US"/>
        </w:rPr>
      </w:pPr>
      <w:r w:rsidRPr="00730146">
        <w:rPr>
          <w:lang w:val="en-US"/>
        </w:rPr>
        <w:t xml:space="preserve">If the CNE still is overloaded </w:t>
      </w:r>
      <w:r w:rsidR="00CA293B">
        <w:rPr>
          <w:lang w:val="en-US"/>
        </w:rPr>
        <w:t>after</w:t>
      </w:r>
      <w:r w:rsidR="00C33D80" w:rsidRPr="00730146">
        <w:rPr>
          <w:lang w:val="en-US"/>
        </w:rPr>
        <w:t xml:space="preserve"> </w:t>
      </w:r>
      <w:r w:rsidRPr="00730146">
        <w:rPr>
          <w:lang w:val="en-US"/>
        </w:rPr>
        <w:t>the penalized loop flows, internal flows that hinder guaranteeing a minimum market exchange shall be penalized in second place to avoid a discrimination o</w:t>
      </w:r>
      <w:r w:rsidR="006010C2">
        <w:rPr>
          <w:lang w:val="en-US"/>
        </w:rPr>
        <w:t>f bids outside the bidding zone</w:t>
      </w:r>
      <w:r w:rsidRPr="00730146">
        <w:rPr>
          <w:lang w:val="en-US"/>
        </w:rPr>
        <w:t xml:space="preserve">. This could be realized by introducing a </w:t>
      </w:r>
      <w:r w:rsidR="00BA7F61" w:rsidRPr="00730146">
        <w:rPr>
          <w:lang w:val="en-US"/>
        </w:rPr>
        <w:t xml:space="preserve">fixed percentage of the </w:t>
      </w:r>
      <w:r w:rsidR="000D638B">
        <w:rPr>
          <w:lang w:val="en-US"/>
        </w:rPr>
        <w:t xml:space="preserve">internal </w:t>
      </w:r>
      <w:r w:rsidR="00BA7F61" w:rsidRPr="00730146">
        <w:rPr>
          <w:lang w:val="en-US"/>
        </w:rPr>
        <w:t xml:space="preserve">flow of the </w:t>
      </w:r>
      <w:proofErr w:type="gramStart"/>
      <w:r w:rsidR="00BA7F61" w:rsidRPr="00730146">
        <w:rPr>
          <w:lang w:val="en-US"/>
        </w:rPr>
        <w:t xml:space="preserve">line </w:t>
      </w:r>
      <w:r w:rsidRPr="00730146">
        <w:rPr>
          <w:lang w:val="en-US"/>
        </w:rPr>
        <w:t xml:space="preserve"> (</w:t>
      </w:r>
      <w:proofErr w:type="gramEnd"/>
      <w:r w:rsidRPr="00730146">
        <w:rPr>
          <w:lang w:val="en-US"/>
        </w:rPr>
        <w:t>freeing up capacity on internal CNE for allowing external exchange)</w:t>
      </w:r>
      <w:r w:rsidR="00BA7F61" w:rsidRPr="00730146">
        <w:rPr>
          <w:lang w:val="en-US"/>
        </w:rPr>
        <w:t xml:space="preserve">. </w:t>
      </w:r>
      <w:proofErr w:type="gramStart"/>
      <w:r w:rsidR="00BA7F61" w:rsidRPr="00730146">
        <w:rPr>
          <w:lang w:val="en-US"/>
        </w:rPr>
        <w:t xml:space="preserve">The  </w:t>
      </w:r>
      <w:r w:rsidR="006010C2">
        <w:rPr>
          <w:lang w:val="en-US"/>
        </w:rPr>
        <w:t>f</w:t>
      </w:r>
      <w:r w:rsidR="00BA7F61" w:rsidRPr="00730146">
        <w:rPr>
          <w:lang w:val="en-US"/>
        </w:rPr>
        <w:t>ixed</w:t>
      </w:r>
      <w:proofErr w:type="gramEnd"/>
      <w:r w:rsidR="00BA7F61" w:rsidRPr="00730146">
        <w:rPr>
          <w:lang w:val="en-US"/>
        </w:rPr>
        <w:t xml:space="preserve"> percentage </w:t>
      </w:r>
      <w:r w:rsidR="00667DDD">
        <w:rPr>
          <w:lang w:val="en-US"/>
        </w:rPr>
        <w:t xml:space="preserve">of </w:t>
      </w:r>
      <w:r w:rsidR="00BA7F61" w:rsidRPr="00730146">
        <w:rPr>
          <w:lang w:val="en-US"/>
        </w:rPr>
        <w:t xml:space="preserve"> </w:t>
      </w:r>
      <w:r w:rsidR="00661CEC">
        <w:rPr>
          <w:lang w:val="en-US"/>
        </w:rPr>
        <w:t>2</w:t>
      </w:r>
      <w:r w:rsidR="00BA7F61" w:rsidRPr="00730146">
        <w:rPr>
          <w:lang w:val="en-US"/>
        </w:rPr>
        <w:t xml:space="preserve">0% of the </w:t>
      </w:r>
      <w:r w:rsidR="00CA7237">
        <w:rPr>
          <w:lang w:val="en-US"/>
        </w:rPr>
        <w:t xml:space="preserve">limit </w:t>
      </w:r>
      <w:r w:rsidR="00BA7F61" w:rsidRPr="00730146">
        <w:rPr>
          <w:lang w:val="en-US"/>
        </w:rPr>
        <w:t>of the internal line</w:t>
      </w:r>
      <w:r w:rsidR="006B6D11">
        <w:rPr>
          <w:lang w:val="en-US"/>
        </w:rPr>
        <w:t xml:space="preserve"> will be applied</w:t>
      </w:r>
      <w:r w:rsidR="002653A0">
        <w:rPr>
          <w:lang w:val="en-US"/>
        </w:rPr>
        <w:t>.</w:t>
      </w:r>
    </w:p>
    <w:p w14:paraId="2751366B" w14:textId="4298DD07" w:rsidR="007920C7" w:rsidRPr="00730146" w:rsidRDefault="007920C7" w:rsidP="00730146">
      <w:pPr>
        <w:pStyle w:val="textregular"/>
        <w:numPr>
          <w:ilvl w:val="0"/>
          <w:numId w:val="56"/>
        </w:numPr>
        <w:spacing w:line="276" w:lineRule="auto"/>
        <w:jc w:val="both"/>
        <w:rPr>
          <w:lang w:val="en-US"/>
        </w:rPr>
      </w:pPr>
      <w:r w:rsidRPr="00730146">
        <w:rPr>
          <w:lang w:val="en-US"/>
        </w:rPr>
        <w:t>In case the flow on a line still is above the technical limit after cutting loop flows and internal flows for guaranteeing a minimum</w:t>
      </w:r>
      <w:r w:rsidR="00BA7F61" w:rsidRPr="00730146">
        <w:rPr>
          <w:lang w:val="en-US"/>
        </w:rPr>
        <w:t xml:space="preserve"> exchange </w:t>
      </w:r>
      <w:r w:rsidRPr="00730146">
        <w:rPr>
          <w:lang w:val="en-US"/>
        </w:rPr>
        <w:t xml:space="preserve"> all other import/export and transit flows shall be penalized before penalizing the remaining internal flows.</w:t>
      </w:r>
    </w:p>
    <w:p w14:paraId="43B11F5D" w14:textId="3197A760" w:rsidR="006D3196" w:rsidRPr="00D515D3" w:rsidRDefault="0076042F" w:rsidP="00730146">
      <w:pPr>
        <w:ind w:left="360"/>
        <w:jc w:val="both"/>
        <w:rPr>
          <w:lang w:val="en-US"/>
        </w:rPr>
      </w:pPr>
      <w:r>
        <w:rPr>
          <w:rFonts w:ascii="Times New Roman" w:hAnsi="Times New Roman"/>
          <w:lang w:val="en-US"/>
        </w:rPr>
        <w:t>C</w:t>
      </w:r>
      <w:r w:rsidR="001447CE" w:rsidRPr="00D515D3">
        <w:rPr>
          <w:rFonts w:ascii="Times New Roman" w:hAnsi="Times New Roman"/>
          <w:lang w:val="en-US"/>
        </w:rPr>
        <w:t>ausers of flows above the technical limits of the CNE have to share the cost of the RAs in proportion to their share of the MW above the limit.</w:t>
      </w:r>
    </w:p>
    <w:p w14:paraId="1ECEDF3E" w14:textId="77777777" w:rsidR="006D3196" w:rsidRPr="00D515D3" w:rsidRDefault="006D3196" w:rsidP="00D515D3">
      <w:pPr>
        <w:pStyle w:val="textregular"/>
        <w:spacing w:line="276" w:lineRule="auto"/>
        <w:ind w:left="720"/>
        <w:rPr>
          <w:lang w:val="en-US"/>
        </w:rPr>
      </w:pPr>
    </w:p>
    <w:p w14:paraId="30A33176" w14:textId="5394BECF" w:rsidR="00621F77" w:rsidRPr="00D515D3" w:rsidRDefault="00621F77" w:rsidP="00621F77">
      <w:pPr>
        <w:pStyle w:val="textregular"/>
        <w:spacing w:line="276" w:lineRule="auto"/>
        <w:ind w:left="720"/>
        <w:rPr>
          <w:lang w:val="en-US"/>
        </w:rPr>
      </w:pPr>
    </w:p>
    <w:p w14:paraId="04DBFF17" w14:textId="4F999FD0" w:rsidR="00D766D0" w:rsidRPr="00D515D3" w:rsidRDefault="00D766D0" w:rsidP="00621F77">
      <w:pPr>
        <w:pStyle w:val="textregular"/>
        <w:spacing w:line="276" w:lineRule="auto"/>
        <w:ind w:left="720"/>
        <w:rPr>
          <w:lang w:val="en-US"/>
        </w:rPr>
      </w:pPr>
      <w:r w:rsidRPr="00426EB8">
        <w:rPr>
          <w:noProof/>
          <w:lang w:eastAsia="en-GB"/>
        </w:rPr>
        <w:drawing>
          <wp:inline distT="0" distB="0" distL="0" distR="0" wp14:anchorId="4BC2973C" wp14:editId="60D6F9D3">
            <wp:extent cx="5022000" cy="40968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2000" cy="4096800"/>
                    </a:xfrm>
                    <a:prstGeom prst="rect">
                      <a:avLst/>
                    </a:prstGeom>
                    <a:noFill/>
                    <a:ln>
                      <a:noFill/>
                    </a:ln>
                  </pic:spPr>
                </pic:pic>
              </a:graphicData>
            </a:graphic>
          </wp:inline>
        </w:drawing>
      </w:r>
    </w:p>
    <w:p w14:paraId="3D8445CC" w14:textId="6EF57E60" w:rsidR="007920C7" w:rsidRPr="00426EB8" w:rsidRDefault="007920C7" w:rsidP="00543156">
      <w:pPr>
        <w:rPr>
          <w:lang w:val="en-US"/>
        </w:rPr>
      </w:pPr>
    </w:p>
    <w:p w14:paraId="5AFE10A6" w14:textId="64D05A3B" w:rsidR="007920C7" w:rsidRPr="00D515D3" w:rsidRDefault="00730146" w:rsidP="002653A0">
      <w:pPr>
        <w:jc w:val="center"/>
        <w:rPr>
          <w:rFonts w:ascii="Times New Roman" w:hAnsi="Times New Roman"/>
          <w:b/>
          <w:szCs w:val="20"/>
        </w:rPr>
      </w:pPr>
      <w:r>
        <w:rPr>
          <w:rFonts w:ascii="Times New Roman" w:hAnsi="Times New Roman"/>
          <w:b/>
          <w:szCs w:val="20"/>
        </w:rPr>
        <w:t>Figure 2</w:t>
      </w:r>
      <w:r w:rsidR="0076042F" w:rsidRPr="0076042F">
        <w:rPr>
          <w:rFonts w:ascii="Times New Roman" w:hAnsi="Times New Roman"/>
          <w:b/>
          <w:szCs w:val="20"/>
        </w:rPr>
        <w:t xml:space="preserve"> </w:t>
      </w:r>
      <w:r w:rsidR="0076042F" w:rsidRPr="00D515D3">
        <w:rPr>
          <w:rFonts w:ascii="Times New Roman" w:hAnsi="Times New Roman"/>
          <w:b/>
          <w:szCs w:val="20"/>
        </w:rPr>
        <w:t>Causation principles based on prioritization of flows</w:t>
      </w:r>
    </w:p>
    <w:p w14:paraId="087A92ED" w14:textId="77777777" w:rsidR="00543156" w:rsidRPr="00D515D3" w:rsidRDefault="00543156" w:rsidP="00543156">
      <w:pPr>
        <w:rPr>
          <w:rFonts w:ascii="Times New Roman" w:hAnsi="Times New Roman"/>
          <w:b/>
          <w:szCs w:val="20"/>
        </w:rPr>
      </w:pPr>
    </w:p>
    <w:p w14:paraId="5FD14374" w14:textId="77777777" w:rsidR="00543156" w:rsidRPr="00426EB8" w:rsidRDefault="00543156" w:rsidP="00543156">
      <w:pPr>
        <w:jc w:val="both"/>
        <w:rPr>
          <w:rFonts w:ascii="Arial" w:hAnsi="Arial" w:cs="Arial"/>
          <w:sz w:val="20"/>
          <w:szCs w:val="20"/>
          <w:lang w:val="en-US"/>
        </w:rPr>
      </w:pPr>
    </w:p>
    <w:p w14:paraId="66B7C116" w14:textId="2AD46B3E" w:rsidR="00543156" w:rsidRPr="00730146" w:rsidRDefault="00CF7F57" w:rsidP="00543156">
      <w:pPr>
        <w:jc w:val="both"/>
        <w:rPr>
          <w:rFonts w:cstheme="minorHAnsi"/>
          <w:lang w:val="en-US"/>
        </w:rPr>
      </w:pPr>
      <w:r w:rsidRPr="00730146">
        <w:rPr>
          <w:rFonts w:cstheme="minorHAnsi"/>
          <w:lang w:val="en-US"/>
        </w:rPr>
        <w:t xml:space="preserve">In more detail, </w:t>
      </w:r>
      <w:r w:rsidR="006A5422" w:rsidRPr="00730146">
        <w:rPr>
          <w:rFonts w:cstheme="minorHAnsi"/>
          <w:lang w:val="en-US"/>
        </w:rPr>
        <w:t>t</w:t>
      </w:r>
      <w:r w:rsidR="00543156" w:rsidRPr="00730146">
        <w:rPr>
          <w:rFonts w:cstheme="minorHAnsi"/>
          <w:lang w:val="en-US"/>
        </w:rPr>
        <w:t>he proposed order of priority in cost sharing should be as follows:</w:t>
      </w:r>
    </w:p>
    <w:p w14:paraId="32774FA5" w14:textId="7478E5EE" w:rsidR="00543156" w:rsidRPr="0030591F" w:rsidRDefault="00982354" w:rsidP="0030591F">
      <w:pPr>
        <w:pStyle w:val="ListParagraph"/>
        <w:numPr>
          <w:ilvl w:val="0"/>
          <w:numId w:val="44"/>
        </w:numPr>
        <w:spacing w:before="60" w:after="60" w:line="259" w:lineRule="auto"/>
        <w:ind w:left="714" w:hanging="357"/>
        <w:rPr>
          <w:rFonts w:asciiTheme="minorHAnsi" w:hAnsiTheme="minorHAnsi" w:cstheme="minorHAnsi"/>
          <w:lang w:val="en-US"/>
        </w:rPr>
      </w:pPr>
      <w:r w:rsidRPr="00730146">
        <w:rPr>
          <w:rFonts w:asciiTheme="minorHAnsi" w:hAnsiTheme="minorHAnsi" w:cstheme="minorHAnsi"/>
          <w:lang w:val="en-US"/>
        </w:rPr>
        <w:t>There might be cases where a TSO faces a critical situation (</w:t>
      </w:r>
      <w:proofErr w:type="spellStart"/>
      <w:r w:rsidRPr="00730146">
        <w:rPr>
          <w:rFonts w:asciiTheme="minorHAnsi" w:hAnsiTheme="minorHAnsi" w:cstheme="minorHAnsi"/>
          <w:lang w:val="en-US"/>
        </w:rPr>
        <w:t>e.g</w:t>
      </w:r>
      <w:proofErr w:type="spellEnd"/>
      <w:r w:rsidRPr="00730146">
        <w:rPr>
          <w:rFonts w:asciiTheme="minorHAnsi" w:hAnsiTheme="minorHAnsi" w:cstheme="minorHAnsi"/>
          <w:lang w:val="en-US"/>
        </w:rPr>
        <w:t xml:space="preserve"> system adequacy challenges) without being able to solve it itself. With an emergency request the concerned TSO can ask neighboring TSOs for their support to increase import capacity. Such increase can lead to overloads </w:t>
      </w:r>
      <w:r w:rsidRPr="00730146">
        <w:rPr>
          <w:rFonts w:asciiTheme="minorHAnsi" w:hAnsiTheme="minorHAnsi" w:cstheme="minorHAnsi"/>
          <w:lang w:val="en-US"/>
        </w:rPr>
        <w:lastRenderedPageBreak/>
        <w:t xml:space="preserve">on internal or external network elements, which need to be relieved by costly remedial actions. Emergency </w:t>
      </w:r>
      <w:proofErr w:type="gramStart"/>
      <w:r w:rsidRPr="00730146">
        <w:rPr>
          <w:rFonts w:asciiTheme="minorHAnsi" w:hAnsiTheme="minorHAnsi" w:cstheme="minorHAnsi"/>
          <w:lang w:val="en-US"/>
        </w:rPr>
        <w:t>Requests  should</w:t>
      </w:r>
      <w:proofErr w:type="gramEnd"/>
      <w:r w:rsidRPr="00730146">
        <w:rPr>
          <w:rFonts w:asciiTheme="minorHAnsi" w:hAnsiTheme="minorHAnsi" w:cstheme="minorHAnsi"/>
          <w:lang w:val="en-US"/>
        </w:rPr>
        <w:t xml:space="preserve"> be on top. That is outside of normal coordinated process and may happen only in very rare cases. The responsible TSOs pay, </w:t>
      </w:r>
      <w:proofErr w:type="spellStart"/>
      <w:proofErr w:type="gramStart"/>
      <w:r w:rsidRPr="00730146">
        <w:rPr>
          <w:rFonts w:asciiTheme="minorHAnsi" w:hAnsiTheme="minorHAnsi" w:cstheme="minorHAnsi"/>
          <w:lang w:val="en-US"/>
        </w:rPr>
        <w:t>i.e</w:t>
      </w:r>
      <w:proofErr w:type="spellEnd"/>
      <w:r w:rsidRPr="00730146">
        <w:rPr>
          <w:rFonts w:asciiTheme="minorHAnsi" w:hAnsiTheme="minorHAnsi" w:cstheme="minorHAnsi"/>
          <w:lang w:val="en-US"/>
        </w:rPr>
        <w:t xml:space="preserve">  the</w:t>
      </w:r>
      <w:proofErr w:type="gramEnd"/>
      <w:r w:rsidRPr="00730146">
        <w:rPr>
          <w:rFonts w:asciiTheme="minorHAnsi" w:hAnsiTheme="minorHAnsi" w:cstheme="minorHAnsi"/>
          <w:lang w:val="en-US"/>
        </w:rPr>
        <w:t xml:space="preserve"> requesters for such emergencies  should cover the resulting costs. This case is exceptional and not covered by the generic cost sharing principles. </w:t>
      </w:r>
    </w:p>
    <w:p w14:paraId="30C3026B" w14:textId="229D329D" w:rsidR="00543156" w:rsidRPr="00730146" w:rsidRDefault="00543156" w:rsidP="00543156">
      <w:pPr>
        <w:pStyle w:val="ListParagraph"/>
        <w:numPr>
          <w:ilvl w:val="0"/>
          <w:numId w:val="44"/>
        </w:numPr>
        <w:spacing w:before="60" w:after="60" w:line="259" w:lineRule="auto"/>
        <w:ind w:left="714" w:hanging="357"/>
        <w:rPr>
          <w:rFonts w:asciiTheme="minorHAnsi" w:hAnsiTheme="minorHAnsi" w:cstheme="minorHAnsi"/>
          <w:lang w:val="en-US"/>
        </w:rPr>
      </w:pPr>
      <w:proofErr w:type="spellStart"/>
      <w:r w:rsidRPr="00730146">
        <w:rPr>
          <w:rFonts w:asciiTheme="minorHAnsi" w:hAnsiTheme="minorHAnsi" w:cstheme="minorHAnsi"/>
          <w:lang w:val="en-US"/>
        </w:rPr>
        <w:t>Loopflows</w:t>
      </w:r>
      <w:proofErr w:type="spellEnd"/>
      <w:r w:rsidRPr="00730146">
        <w:rPr>
          <w:rFonts w:asciiTheme="minorHAnsi" w:hAnsiTheme="minorHAnsi" w:cstheme="minorHAnsi"/>
          <w:lang w:val="en-US"/>
        </w:rPr>
        <w:t xml:space="preserve"> (ACER</w:t>
      </w:r>
      <w:r w:rsidR="0080592F" w:rsidRPr="00730146">
        <w:rPr>
          <w:rFonts w:asciiTheme="minorHAnsi" w:hAnsiTheme="minorHAnsi" w:cstheme="minorHAnsi"/>
          <w:lang w:val="en-US"/>
        </w:rPr>
        <w:t xml:space="preserve"> </w:t>
      </w:r>
      <w:proofErr w:type="spellStart"/>
      <w:r w:rsidR="0080592F" w:rsidRPr="00730146">
        <w:rPr>
          <w:rFonts w:asciiTheme="minorHAnsi" w:hAnsiTheme="minorHAnsi" w:cstheme="minorHAnsi"/>
          <w:lang w:val="en-US"/>
        </w:rPr>
        <w:t>recommentation</w:t>
      </w:r>
      <w:proofErr w:type="spellEnd"/>
      <w:r w:rsidRPr="00730146">
        <w:rPr>
          <w:rFonts w:asciiTheme="minorHAnsi" w:hAnsiTheme="minorHAnsi" w:cstheme="minorHAnsi"/>
          <w:lang w:val="en-US"/>
        </w:rPr>
        <w:t xml:space="preserve">) should also be on top, since it is an externality in zonal </w:t>
      </w:r>
      <w:proofErr w:type="spellStart"/>
      <w:r w:rsidR="0080592F" w:rsidRPr="00730146">
        <w:rPr>
          <w:rFonts w:asciiTheme="minorHAnsi" w:hAnsiTheme="minorHAnsi" w:cstheme="minorHAnsi"/>
          <w:lang w:val="en-US"/>
        </w:rPr>
        <w:t>process.</w:t>
      </w:r>
      <w:r w:rsidR="006A5422" w:rsidRPr="00730146">
        <w:rPr>
          <w:rFonts w:asciiTheme="minorHAnsi" w:hAnsiTheme="minorHAnsi" w:cstheme="minorHAnsi"/>
          <w:lang w:val="en-US"/>
        </w:rPr>
        <w:t>TSOs</w:t>
      </w:r>
      <w:proofErr w:type="spellEnd"/>
      <w:r w:rsidR="006A5422" w:rsidRPr="00730146">
        <w:rPr>
          <w:rFonts w:asciiTheme="minorHAnsi" w:hAnsiTheme="minorHAnsi" w:cstheme="minorHAnsi"/>
          <w:lang w:val="en-US"/>
        </w:rPr>
        <w:t xml:space="preserve"> of origin pays, </w:t>
      </w:r>
      <w:proofErr w:type="spellStart"/>
      <w:r w:rsidR="006A5422" w:rsidRPr="00730146">
        <w:rPr>
          <w:rFonts w:asciiTheme="minorHAnsi" w:hAnsiTheme="minorHAnsi" w:cstheme="minorHAnsi"/>
          <w:lang w:val="en-US"/>
        </w:rPr>
        <w:t>i.e</w:t>
      </w:r>
      <w:proofErr w:type="spellEnd"/>
      <w:r w:rsidR="006A5422" w:rsidRPr="00730146">
        <w:rPr>
          <w:rFonts w:asciiTheme="minorHAnsi" w:hAnsiTheme="minorHAnsi" w:cstheme="minorHAnsi"/>
          <w:lang w:val="en-US"/>
        </w:rPr>
        <w:t xml:space="preserve"> the one where </w:t>
      </w:r>
      <w:proofErr w:type="spellStart"/>
      <w:r w:rsidR="006A5422" w:rsidRPr="00730146">
        <w:rPr>
          <w:rFonts w:asciiTheme="minorHAnsi" w:hAnsiTheme="minorHAnsi" w:cstheme="minorHAnsi"/>
          <w:lang w:val="en-US"/>
        </w:rPr>
        <w:t>loopflows</w:t>
      </w:r>
      <w:proofErr w:type="spellEnd"/>
      <w:r w:rsidR="006A5422" w:rsidRPr="00730146">
        <w:rPr>
          <w:rFonts w:asciiTheme="minorHAnsi" w:hAnsiTheme="minorHAnsi" w:cstheme="minorHAnsi"/>
          <w:lang w:val="en-US"/>
        </w:rPr>
        <w:t xml:space="preserve"> come from. In case the </w:t>
      </w:r>
      <w:proofErr w:type="spellStart"/>
      <w:r w:rsidR="006A5422" w:rsidRPr="00730146">
        <w:rPr>
          <w:rFonts w:asciiTheme="minorHAnsi" w:hAnsiTheme="minorHAnsi" w:cstheme="minorHAnsi"/>
          <w:lang w:val="en-US"/>
        </w:rPr>
        <w:t>loopflows</w:t>
      </w:r>
      <w:proofErr w:type="spellEnd"/>
      <w:r w:rsidR="006A5422" w:rsidRPr="00730146">
        <w:rPr>
          <w:rFonts w:asciiTheme="minorHAnsi" w:hAnsiTheme="minorHAnsi" w:cstheme="minorHAnsi"/>
          <w:lang w:val="en-US"/>
        </w:rPr>
        <w:t xml:space="preserve"> come from TSOs outside the SEE </w:t>
      </w:r>
      <w:r w:rsidR="0065278C">
        <w:rPr>
          <w:rFonts w:asciiTheme="minorHAnsi" w:hAnsiTheme="minorHAnsi" w:cstheme="minorHAnsi"/>
          <w:lang w:val="en-US"/>
        </w:rPr>
        <w:t>CCR</w:t>
      </w:r>
      <w:r w:rsidR="0065278C" w:rsidRPr="00730146">
        <w:rPr>
          <w:rFonts w:asciiTheme="minorHAnsi" w:hAnsiTheme="minorHAnsi" w:cstheme="minorHAnsi"/>
          <w:lang w:val="en-US"/>
        </w:rPr>
        <w:t xml:space="preserve"> </w:t>
      </w:r>
      <w:r w:rsidR="006A5422" w:rsidRPr="00730146">
        <w:rPr>
          <w:rFonts w:asciiTheme="minorHAnsi" w:hAnsiTheme="minorHAnsi" w:cstheme="minorHAnsi"/>
          <w:lang w:val="en-US"/>
        </w:rPr>
        <w:t xml:space="preserve">the socialization principle shall apply. </w:t>
      </w:r>
    </w:p>
    <w:p w14:paraId="2C8B917C" w14:textId="45AB7BC9" w:rsidR="00982354" w:rsidRPr="0030591F" w:rsidRDefault="006A5422" w:rsidP="00982354">
      <w:pPr>
        <w:pStyle w:val="ListParagraph"/>
        <w:numPr>
          <w:ilvl w:val="0"/>
          <w:numId w:val="44"/>
        </w:numPr>
        <w:spacing w:before="60" w:after="60" w:line="259" w:lineRule="auto"/>
        <w:ind w:left="714" w:hanging="357"/>
        <w:rPr>
          <w:rFonts w:asciiTheme="minorHAnsi" w:hAnsiTheme="minorHAnsi" w:cstheme="minorHAnsi"/>
          <w:lang w:val="en-US"/>
        </w:rPr>
      </w:pPr>
      <w:r w:rsidRPr="00730146">
        <w:rPr>
          <w:rFonts w:asciiTheme="minorHAnsi" w:hAnsiTheme="minorHAnsi" w:cstheme="minorHAnsi"/>
          <w:lang w:val="en-US"/>
        </w:rPr>
        <w:t>If after considering the above the problem still remains, then some share of costs necessary to ensure a margin of internal flows should be applied, so an amount of flows should also be covered by Internal Flows.</w:t>
      </w:r>
      <w:r w:rsidR="007204E0" w:rsidRPr="00730146">
        <w:rPr>
          <w:rFonts w:asciiTheme="minorHAnsi" w:hAnsiTheme="minorHAnsi" w:cstheme="minorHAnsi"/>
          <w:lang w:val="en-US"/>
        </w:rPr>
        <w:t xml:space="preserve"> </w:t>
      </w:r>
      <w:r w:rsidR="00982354" w:rsidRPr="00730146">
        <w:rPr>
          <w:rFonts w:asciiTheme="minorHAnsi" w:hAnsiTheme="minorHAnsi" w:cstheme="minorHAnsi"/>
          <w:lang w:val="en-US"/>
        </w:rPr>
        <w:t xml:space="preserve">A minimum remaining available margin (RAM) in flow based approach is used in order to be </w:t>
      </w:r>
      <w:proofErr w:type="gramStart"/>
      <w:r w:rsidR="00982354" w:rsidRPr="00730146">
        <w:rPr>
          <w:rFonts w:asciiTheme="minorHAnsi" w:hAnsiTheme="minorHAnsi" w:cstheme="minorHAnsi"/>
          <w:lang w:val="en-US"/>
        </w:rPr>
        <w:t>guaranteed  by</w:t>
      </w:r>
      <w:proofErr w:type="gramEnd"/>
      <w:r w:rsidR="00982354" w:rsidRPr="00730146">
        <w:rPr>
          <w:rFonts w:asciiTheme="minorHAnsi" w:hAnsiTheme="minorHAnsi" w:cstheme="minorHAnsi"/>
          <w:lang w:val="en-US"/>
        </w:rPr>
        <w:t xml:space="preserve"> TSOs on internal CNEs to allow for external exchanges by the market (different kind of solutions are possible to guarantee capacities on internal lines for external exchanges). A similar kind of margin</w:t>
      </w:r>
      <w:r w:rsidR="006B6D11">
        <w:rPr>
          <w:rFonts w:asciiTheme="minorHAnsi" w:hAnsiTheme="minorHAnsi" w:cstheme="minorHAnsi"/>
          <w:lang w:val="en-US"/>
        </w:rPr>
        <w:t xml:space="preserve"> of</w:t>
      </w:r>
      <w:r w:rsidR="00982354" w:rsidRPr="00730146">
        <w:rPr>
          <w:rFonts w:asciiTheme="minorHAnsi" w:hAnsiTheme="minorHAnsi" w:cstheme="minorHAnsi"/>
          <w:lang w:val="en-US"/>
        </w:rPr>
        <w:t xml:space="preserve"> </w:t>
      </w:r>
      <w:r w:rsidR="00661CEC">
        <w:rPr>
          <w:rFonts w:asciiTheme="minorHAnsi" w:hAnsiTheme="minorHAnsi" w:cstheme="minorHAnsi"/>
          <w:lang w:val="en-US"/>
        </w:rPr>
        <w:t>2</w:t>
      </w:r>
      <w:r w:rsidR="00982354" w:rsidRPr="00730146">
        <w:rPr>
          <w:rFonts w:asciiTheme="minorHAnsi" w:hAnsiTheme="minorHAnsi" w:cstheme="minorHAnsi"/>
          <w:lang w:val="en-US"/>
        </w:rPr>
        <w:t xml:space="preserve">0% of the </w:t>
      </w:r>
      <w:proofErr w:type="gramStart"/>
      <w:r w:rsidR="00870398">
        <w:rPr>
          <w:rFonts w:asciiTheme="minorHAnsi" w:hAnsiTheme="minorHAnsi" w:cstheme="minorHAnsi"/>
          <w:lang w:val="en-US"/>
        </w:rPr>
        <w:t xml:space="preserve">limit </w:t>
      </w:r>
      <w:r w:rsidR="0076042F">
        <w:rPr>
          <w:rFonts w:asciiTheme="minorHAnsi" w:hAnsiTheme="minorHAnsi" w:cstheme="minorHAnsi"/>
          <w:lang w:val="en-US"/>
        </w:rPr>
        <w:t xml:space="preserve"> of</w:t>
      </w:r>
      <w:proofErr w:type="gramEnd"/>
      <w:r w:rsidR="0076042F">
        <w:rPr>
          <w:rFonts w:asciiTheme="minorHAnsi" w:hAnsiTheme="minorHAnsi" w:cstheme="minorHAnsi"/>
          <w:lang w:val="en-US"/>
        </w:rPr>
        <w:t xml:space="preserve"> the internal line </w:t>
      </w:r>
      <w:r w:rsidR="006B6D11">
        <w:rPr>
          <w:rFonts w:asciiTheme="minorHAnsi" w:hAnsiTheme="minorHAnsi" w:cstheme="minorHAnsi"/>
          <w:lang w:val="en-US"/>
        </w:rPr>
        <w:t>should</w:t>
      </w:r>
      <w:r w:rsidR="006B6D11" w:rsidRPr="00730146">
        <w:rPr>
          <w:rFonts w:asciiTheme="minorHAnsi" w:hAnsiTheme="minorHAnsi" w:cstheme="minorHAnsi"/>
          <w:lang w:val="en-US"/>
        </w:rPr>
        <w:t xml:space="preserve"> </w:t>
      </w:r>
      <w:r w:rsidR="00982354" w:rsidRPr="00730146">
        <w:rPr>
          <w:rFonts w:asciiTheme="minorHAnsi" w:hAnsiTheme="minorHAnsi" w:cstheme="minorHAnsi"/>
          <w:lang w:val="en-US"/>
        </w:rPr>
        <w:t xml:space="preserve">be used at the current methodology, bearing in mind the application of CNTC methodology in SEE </w:t>
      </w:r>
      <w:r w:rsidR="002E69D3">
        <w:rPr>
          <w:rFonts w:asciiTheme="minorHAnsi" w:hAnsiTheme="minorHAnsi" w:cstheme="minorHAnsi"/>
          <w:lang w:val="en-US"/>
        </w:rPr>
        <w:t>CCR</w:t>
      </w:r>
      <w:r w:rsidR="00982354" w:rsidRPr="00730146">
        <w:rPr>
          <w:rFonts w:asciiTheme="minorHAnsi" w:hAnsiTheme="minorHAnsi" w:cstheme="minorHAnsi"/>
          <w:lang w:val="en-US"/>
        </w:rPr>
        <w:t>. In order to achieve a minimum margin</w:t>
      </w:r>
      <w:r w:rsidR="007A065B">
        <w:rPr>
          <w:rFonts w:asciiTheme="minorHAnsi" w:hAnsiTheme="minorHAnsi" w:cstheme="minorHAnsi"/>
          <w:lang w:val="en-US"/>
        </w:rPr>
        <w:t xml:space="preserve"> (needed to assure the external</w:t>
      </w:r>
      <w:r w:rsidR="006B6D11">
        <w:rPr>
          <w:rFonts w:asciiTheme="minorHAnsi" w:hAnsiTheme="minorHAnsi" w:cstheme="minorHAnsi"/>
          <w:lang w:val="en-US"/>
        </w:rPr>
        <w:t xml:space="preserve"> </w:t>
      </w:r>
      <w:r w:rsidR="00870398">
        <w:rPr>
          <w:rFonts w:asciiTheme="minorHAnsi" w:hAnsiTheme="minorHAnsi" w:cstheme="minorHAnsi"/>
          <w:lang w:val="en-US"/>
        </w:rPr>
        <w:t>exchanges</w:t>
      </w:r>
      <w:r w:rsidR="007A065B">
        <w:rPr>
          <w:rFonts w:asciiTheme="minorHAnsi" w:hAnsiTheme="minorHAnsi" w:cstheme="minorHAnsi"/>
          <w:lang w:val="en-US"/>
        </w:rPr>
        <w:t>)</w:t>
      </w:r>
      <w:r w:rsidR="00982354" w:rsidRPr="00730146">
        <w:rPr>
          <w:rFonts w:asciiTheme="minorHAnsi" w:hAnsiTheme="minorHAnsi" w:cstheme="minorHAnsi"/>
          <w:lang w:val="en-US"/>
        </w:rPr>
        <w:t xml:space="preserve">, costly RAs might be necessary. TSOs shall be individually responsible for making available a minimum margin by reducing the internal loading on the relevant CNE </w:t>
      </w:r>
      <w:r w:rsidR="006010C2">
        <w:rPr>
          <w:rFonts w:asciiTheme="minorHAnsi" w:hAnsiTheme="minorHAnsi" w:cstheme="minorHAnsi"/>
          <w:lang w:val="en-US"/>
        </w:rPr>
        <w:t>below the predefined threshold.</w:t>
      </w:r>
      <w:r w:rsidR="00982354" w:rsidRPr="00730146">
        <w:rPr>
          <w:rFonts w:asciiTheme="minorHAnsi" w:hAnsiTheme="minorHAnsi" w:cstheme="minorHAnsi"/>
          <w:lang w:val="en-US"/>
        </w:rPr>
        <w:t xml:space="preserve"> </w:t>
      </w:r>
    </w:p>
    <w:p w14:paraId="100C8073" w14:textId="091E23FB" w:rsidR="006A5422" w:rsidRPr="00730146" w:rsidRDefault="00DD6D5B" w:rsidP="006A5422">
      <w:pPr>
        <w:pStyle w:val="ListParagraph"/>
        <w:numPr>
          <w:ilvl w:val="0"/>
          <w:numId w:val="44"/>
        </w:numPr>
        <w:spacing w:before="60" w:after="60" w:line="259" w:lineRule="auto"/>
        <w:ind w:left="714" w:hanging="357"/>
        <w:rPr>
          <w:rFonts w:asciiTheme="minorHAnsi" w:hAnsiTheme="minorHAnsi" w:cstheme="minorHAnsi"/>
          <w:lang w:val="en-US"/>
        </w:rPr>
      </w:pPr>
      <w:r w:rsidRPr="00730146">
        <w:rPr>
          <w:rFonts w:asciiTheme="minorHAnsi" w:hAnsiTheme="minorHAnsi" w:cstheme="minorHAnsi"/>
          <w:lang w:val="en-US"/>
        </w:rPr>
        <w:t xml:space="preserve">Import/Export flows and transit flows follow where the TSO of origin will pay. That means the contribution of each TSO will be identified </w:t>
      </w:r>
      <w:r w:rsidR="007204E0" w:rsidRPr="00730146">
        <w:rPr>
          <w:rFonts w:asciiTheme="minorHAnsi" w:hAnsiTheme="minorHAnsi" w:cstheme="minorHAnsi"/>
          <w:lang w:val="en-US"/>
        </w:rPr>
        <w:t>a</w:t>
      </w:r>
      <w:r w:rsidRPr="00730146">
        <w:rPr>
          <w:rFonts w:asciiTheme="minorHAnsi" w:hAnsiTheme="minorHAnsi" w:cstheme="minorHAnsi"/>
          <w:lang w:val="en-US"/>
        </w:rPr>
        <w:t xml:space="preserve">gain by using the FLD method. </w:t>
      </w:r>
      <w:r w:rsidR="006A5422" w:rsidRPr="00730146">
        <w:rPr>
          <w:rFonts w:asciiTheme="minorHAnsi" w:hAnsiTheme="minorHAnsi" w:cstheme="minorHAnsi"/>
          <w:lang w:val="en-US"/>
        </w:rPr>
        <w:t xml:space="preserve">Again just like in the case with </w:t>
      </w:r>
      <w:proofErr w:type="spellStart"/>
      <w:r w:rsidR="006A5422" w:rsidRPr="00730146">
        <w:rPr>
          <w:rFonts w:asciiTheme="minorHAnsi" w:hAnsiTheme="minorHAnsi" w:cstheme="minorHAnsi"/>
          <w:lang w:val="en-US"/>
        </w:rPr>
        <w:t>loopflows</w:t>
      </w:r>
      <w:proofErr w:type="spellEnd"/>
      <w:r w:rsidR="006A5422" w:rsidRPr="00730146">
        <w:rPr>
          <w:rFonts w:asciiTheme="minorHAnsi" w:hAnsiTheme="minorHAnsi" w:cstheme="minorHAnsi"/>
          <w:lang w:val="en-US"/>
        </w:rPr>
        <w:t xml:space="preserve">, in case transits come from TSOs outside the SEE </w:t>
      </w:r>
      <w:r w:rsidR="0065278C">
        <w:rPr>
          <w:rFonts w:asciiTheme="minorHAnsi" w:hAnsiTheme="minorHAnsi" w:cstheme="minorHAnsi"/>
          <w:lang w:val="en-US"/>
        </w:rPr>
        <w:t>CCR</w:t>
      </w:r>
      <w:r w:rsidR="0065278C" w:rsidRPr="00730146">
        <w:rPr>
          <w:rFonts w:asciiTheme="minorHAnsi" w:hAnsiTheme="minorHAnsi" w:cstheme="minorHAnsi"/>
          <w:lang w:val="en-US"/>
        </w:rPr>
        <w:t xml:space="preserve"> </w:t>
      </w:r>
      <w:r w:rsidR="006A5422" w:rsidRPr="00730146">
        <w:rPr>
          <w:rFonts w:asciiTheme="minorHAnsi" w:hAnsiTheme="minorHAnsi" w:cstheme="minorHAnsi"/>
          <w:lang w:val="en-US"/>
        </w:rPr>
        <w:t xml:space="preserve">the socialization principle shall apply. </w:t>
      </w:r>
    </w:p>
    <w:p w14:paraId="0FBE4B99" w14:textId="07E50E88" w:rsidR="009D1E67" w:rsidRPr="00AE7F66" w:rsidRDefault="006A5422" w:rsidP="002653A0">
      <w:pPr>
        <w:pStyle w:val="ListParagraph"/>
        <w:spacing w:before="60" w:after="120" w:line="260" w:lineRule="exact"/>
        <w:ind w:left="714"/>
        <w:outlineLvl w:val="1"/>
        <w:rPr>
          <w:rFonts w:cstheme="minorHAnsi"/>
          <w:b/>
          <w:color w:val="23236E" w:themeColor="text2"/>
          <w:sz w:val="24"/>
          <w:szCs w:val="24"/>
          <w:lang w:val="en-US"/>
        </w:rPr>
      </w:pPr>
      <w:r w:rsidRPr="00AE7F66">
        <w:rPr>
          <w:rFonts w:asciiTheme="minorHAnsi" w:hAnsiTheme="minorHAnsi" w:cstheme="minorHAnsi"/>
          <w:lang w:val="en-US"/>
        </w:rPr>
        <w:t>If after considering all these kinds is still unable to ensure security, then some share of costs necessary to ensure this should also be covered by Internal Flows.</w:t>
      </w:r>
      <w:r w:rsidR="007204E0" w:rsidRPr="00AE7F66">
        <w:rPr>
          <w:rFonts w:cstheme="minorHAnsi"/>
          <w:lang w:val="en-US"/>
        </w:rPr>
        <w:t xml:space="preserve"> </w:t>
      </w:r>
    </w:p>
    <w:p w14:paraId="7CB99FAC" w14:textId="77777777" w:rsidR="00C16DCC" w:rsidRPr="009D1E67" w:rsidRDefault="00C16DCC" w:rsidP="009D1E67">
      <w:pPr>
        <w:spacing w:after="120" w:line="260" w:lineRule="exact"/>
        <w:outlineLvl w:val="1"/>
        <w:rPr>
          <w:rFonts w:cstheme="minorHAnsi"/>
          <w:b/>
          <w:color w:val="23236E" w:themeColor="text2"/>
          <w:sz w:val="24"/>
          <w:szCs w:val="24"/>
          <w:lang w:val="en-US"/>
        </w:rPr>
      </w:pPr>
    </w:p>
    <w:p w14:paraId="006844F8" w14:textId="2B2C052D" w:rsidR="00FF135A" w:rsidRDefault="00FF135A" w:rsidP="00FF135A">
      <w:pPr>
        <w:spacing w:after="120" w:line="260" w:lineRule="exact"/>
        <w:jc w:val="center"/>
        <w:outlineLvl w:val="1"/>
        <w:rPr>
          <w:rFonts w:cstheme="minorHAnsi"/>
          <w:b/>
          <w:color w:val="23236E" w:themeColor="text2"/>
          <w:sz w:val="24"/>
          <w:szCs w:val="24"/>
          <w:lang w:val="en-US"/>
        </w:rPr>
      </w:pPr>
      <w:r w:rsidRPr="00495CAF">
        <w:rPr>
          <w:rFonts w:cstheme="minorHAnsi"/>
          <w:b/>
          <w:color w:val="23236E" w:themeColor="text2"/>
          <w:sz w:val="24"/>
          <w:szCs w:val="24"/>
          <w:lang w:val="en-US"/>
        </w:rPr>
        <w:t xml:space="preserve">Article </w:t>
      </w:r>
      <w:r w:rsidR="00495CAF" w:rsidRPr="00495CAF">
        <w:rPr>
          <w:rFonts w:cstheme="minorHAnsi"/>
          <w:b/>
          <w:color w:val="23236E" w:themeColor="text2"/>
          <w:sz w:val="24"/>
          <w:szCs w:val="24"/>
          <w:lang w:val="en-US"/>
        </w:rPr>
        <w:t>1</w:t>
      </w:r>
      <w:r w:rsidR="001447CE">
        <w:rPr>
          <w:rFonts w:cstheme="minorHAnsi"/>
          <w:b/>
          <w:color w:val="23236E" w:themeColor="text2"/>
          <w:sz w:val="24"/>
          <w:szCs w:val="24"/>
          <w:lang w:val="en-US"/>
        </w:rPr>
        <w:t>0</w:t>
      </w:r>
      <w:r w:rsidRPr="00495CAF">
        <w:rPr>
          <w:rFonts w:cstheme="minorHAnsi"/>
          <w:b/>
          <w:color w:val="23236E" w:themeColor="text2"/>
          <w:sz w:val="24"/>
          <w:szCs w:val="24"/>
          <w:lang w:val="en-US"/>
        </w:rPr>
        <w:br/>
      </w:r>
      <w:r w:rsidR="008436BD">
        <w:rPr>
          <w:rFonts w:cstheme="minorHAnsi"/>
          <w:b/>
          <w:color w:val="23236E" w:themeColor="text2"/>
          <w:sz w:val="24"/>
          <w:szCs w:val="24"/>
          <w:lang w:val="en-US"/>
        </w:rPr>
        <w:t>P</w:t>
      </w:r>
      <w:r w:rsidRPr="00495CAF">
        <w:rPr>
          <w:rFonts w:cstheme="minorHAnsi"/>
          <w:b/>
          <w:color w:val="23236E" w:themeColor="text2"/>
          <w:sz w:val="24"/>
          <w:szCs w:val="24"/>
          <w:lang w:val="en-US"/>
        </w:rPr>
        <w:t>rinciple</w:t>
      </w:r>
      <w:r w:rsidR="008436BD">
        <w:rPr>
          <w:rFonts w:cstheme="minorHAnsi"/>
          <w:b/>
          <w:color w:val="23236E" w:themeColor="text2"/>
          <w:sz w:val="24"/>
          <w:szCs w:val="24"/>
          <w:lang w:val="en-US"/>
        </w:rPr>
        <w:t xml:space="preserve">s for sharing keys calculation </w:t>
      </w:r>
    </w:p>
    <w:p w14:paraId="58C182F7" w14:textId="77777777" w:rsidR="00792C65" w:rsidRDefault="00792C65" w:rsidP="00FD0844">
      <w:pPr>
        <w:spacing w:after="120" w:line="260" w:lineRule="exact"/>
        <w:outlineLvl w:val="1"/>
        <w:rPr>
          <w:rFonts w:cstheme="minorHAnsi"/>
          <w:color w:val="23236E" w:themeColor="text2"/>
          <w:sz w:val="24"/>
          <w:szCs w:val="24"/>
          <w:lang w:val="en-US"/>
        </w:rPr>
      </w:pPr>
    </w:p>
    <w:p w14:paraId="51BEEB88" w14:textId="557B5B21" w:rsidR="00ED7156" w:rsidRPr="002653A0" w:rsidRDefault="008436BD" w:rsidP="00C16DCC">
      <w:pPr>
        <w:pStyle w:val="ListParagraph"/>
        <w:numPr>
          <w:ilvl w:val="0"/>
          <w:numId w:val="60"/>
        </w:numPr>
        <w:spacing w:after="120" w:line="260" w:lineRule="exact"/>
        <w:outlineLvl w:val="1"/>
        <w:rPr>
          <w:rFonts w:ascii="Times New Roman" w:hAnsi="Times New Roman"/>
          <w:b/>
          <w:color w:val="000000" w:themeColor="text1"/>
          <w:lang w:val="en-US"/>
        </w:rPr>
      </w:pPr>
      <w:bookmarkStart w:id="10" w:name="_Toc519252670"/>
      <w:r w:rsidRPr="008436BD">
        <w:rPr>
          <w:rFonts w:ascii="Times New Roman" w:hAnsi="Times New Roman"/>
          <w:b/>
          <w:color w:val="000000" w:themeColor="text1"/>
          <w:lang w:val="en-US"/>
        </w:rPr>
        <w:t>Non-coordinated actions</w:t>
      </w:r>
      <w:bookmarkEnd w:id="10"/>
      <w:r w:rsidR="00263543">
        <w:rPr>
          <w:rFonts w:ascii="Times New Roman" w:hAnsi="Times New Roman"/>
          <w:b/>
          <w:color w:val="000000" w:themeColor="text1"/>
          <w:lang w:val="en-US"/>
        </w:rPr>
        <w:t xml:space="preserve"> with RSC</w:t>
      </w:r>
    </w:p>
    <w:p w14:paraId="600A899F" w14:textId="06071E22" w:rsidR="00ED7156" w:rsidRPr="0073097C" w:rsidRDefault="00ED7156" w:rsidP="00ED7156">
      <w:pPr>
        <w:pStyle w:val="textregular"/>
        <w:spacing w:line="276" w:lineRule="auto"/>
        <w:jc w:val="both"/>
        <w:rPr>
          <w:rFonts w:cstheme="minorHAnsi"/>
          <w:lang w:val="en-US"/>
        </w:rPr>
      </w:pPr>
      <w:r w:rsidRPr="0073097C">
        <w:rPr>
          <w:rFonts w:cstheme="minorHAnsi"/>
          <w:lang w:val="en-US"/>
        </w:rPr>
        <w:t xml:space="preserve">In general all the TSOs within the SEE CCR commit themselves to coordinate between each other when planning and activating remedial actions in an enduring coordination process which goes from capacity calculation, through operational planning, till real time. It is therefore taken as a basic </w:t>
      </w:r>
      <w:proofErr w:type="gramStart"/>
      <w:r w:rsidRPr="0073097C">
        <w:rPr>
          <w:rFonts w:cstheme="minorHAnsi"/>
          <w:lang w:val="en-US"/>
        </w:rPr>
        <w:t>assumption, that</w:t>
      </w:r>
      <w:proofErr w:type="gramEnd"/>
      <w:r w:rsidRPr="0073097C">
        <w:rPr>
          <w:rFonts w:cstheme="minorHAnsi"/>
          <w:lang w:val="en-US"/>
        </w:rPr>
        <w:t xml:space="preserve"> TSOs shall act by respecting what was agreed in the previous phases of this coordination process and by following the coordination principles.</w:t>
      </w:r>
    </w:p>
    <w:p w14:paraId="0F4E7F0B" w14:textId="77777777" w:rsidR="00ED7156" w:rsidRPr="0073097C" w:rsidRDefault="00ED7156" w:rsidP="00ED7156">
      <w:pPr>
        <w:pStyle w:val="textregular"/>
        <w:spacing w:line="276" w:lineRule="auto"/>
        <w:jc w:val="both"/>
        <w:rPr>
          <w:rFonts w:cstheme="minorHAnsi"/>
          <w:lang w:val="en-US"/>
        </w:rPr>
      </w:pPr>
      <w:r w:rsidRPr="0073097C">
        <w:rPr>
          <w:rFonts w:cstheme="minorHAnsi"/>
          <w:lang w:val="en-US"/>
        </w:rPr>
        <w:t>Thus, each TSO breaching the above-mentioned coordination process shall bear responsibility for covering the possible additional costs which may arise.</w:t>
      </w:r>
    </w:p>
    <w:p w14:paraId="4996E3A3" w14:textId="38489469" w:rsidR="00ED7156" w:rsidRPr="006B6D11" w:rsidRDefault="00ED7156" w:rsidP="00ED7156">
      <w:pPr>
        <w:pStyle w:val="textregular"/>
        <w:spacing w:line="276" w:lineRule="auto"/>
        <w:jc w:val="both"/>
        <w:rPr>
          <w:rFonts w:cstheme="minorHAnsi"/>
          <w:lang w:val="en-US"/>
        </w:rPr>
      </w:pPr>
      <w:r w:rsidRPr="006B6D11">
        <w:rPr>
          <w:rFonts w:cstheme="minorHAnsi"/>
          <w:lang w:val="en-US"/>
        </w:rPr>
        <w:t xml:space="preserve">Even close to real-time, cross-border relevant remedial action shall be coordinated (Article 74 (1) SO regulation). Each TSO shall abstain from unilateral or uncoordinated </w:t>
      </w:r>
      <w:proofErr w:type="spellStart"/>
      <w:r w:rsidRPr="006B6D11">
        <w:rPr>
          <w:rFonts w:cstheme="minorHAnsi"/>
          <w:lang w:val="en-US"/>
        </w:rPr>
        <w:t>redispatching</w:t>
      </w:r>
      <w:proofErr w:type="spellEnd"/>
      <w:r w:rsidRPr="006B6D11">
        <w:rPr>
          <w:rFonts w:cstheme="minorHAnsi"/>
          <w:lang w:val="en-US"/>
        </w:rPr>
        <w:t xml:space="preserve"> and countertrading measures of cross-border relevance (Article 35 (4) CACM regulation). The coordination for bilateral/multilateral restoring remedial actions is made between two or more affected TSOs in real time, with possible support of RSCs.</w:t>
      </w:r>
    </w:p>
    <w:p w14:paraId="0C077BAE" w14:textId="661558F4" w:rsidR="00ED7156" w:rsidRPr="006B6D11" w:rsidRDefault="00ED7156" w:rsidP="00ED7156">
      <w:pPr>
        <w:pStyle w:val="textregular"/>
        <w:spacing w:line="276" w:lineRule="auto"/>
        <w:jc w:val="both"/>
        <w:rPr>
          <w:rFonts w:cstheme="minorHAnsi"/>
          <w:lang w:val="en-US"/>
        </w:rPr>
      </w:pPr>
      <w:r w:rsidRPr="006B6D11">
        <w:rPr>
          <w:rFonts w:cstheme="minorHAnsi"/>
          <w:lang w:val="en-US"/>
        </w:rPr>
        <w:t xml:space="preserve">Following principles can be applied depending on TSO approach </w:t>
      </w:r>
      <w:r w:rsidR="00EE2D98">
        <w:rPr>
          <w:rFonts w:cstheme="minorHAnsi"/>
          <w:lang w:val="en-US"/>
        </w:rPr>
        <w:t xml:space="preserve">with the support </w:t>
      </w:r>
      <w:proofErr w:type="gramStart"/>
      <w:r w:rsidR="00EE2D98">
        <w:rPr>
          <w:rFonts w:cstheme="minorHAnsi"/>
          <w:lang w:val="en-US"/>
        </w:rPr>
        <w:t xml:space="preserve">of </w:t>
      </w:r>
      <w:r w:rsidRPr="006B6D11">
        <w:rPr>
          <w:rFonts w:cstheme="minorHAnsi"/>
          <w:lang w:val="en-US"/>
        </w:rPr>
        <w:t xml:space="preserve"> RSC</w:t>
      </w:r>
      <w:proofErr w:type="gramEnd"/>
      <w:r w:rsidRPr="006B6D11">
        <w:rPr>
          <w:rFonts w:cstheme="minorHAnsi"/>
          <w:lang w:val="en-US"/>
        </w:rPr>
        <w:t xml:space="preserve"> :</w:t>
      </w:r>
    </w:p>
    <w:p w14:paraId="1620880C" w14:textId="0716ECCE" w:rsidR="00ED7156" w:rsidRPr="006B6D11" w:rsidRDefault="002E69D3" w:rsidP="00ED7156">
      <w:pPr>
        <w:pStyle w:val="textregular"/>
        <w:spacing w:line="276" w:lineRule="auto"/>
        <w:rPr>
          <w:rFonts w:cstheme="minorHAnsi"/>
          <w:lang w:val="en-US"/>
        </w:rPr>
      </w:pPr>
      <w:r>
        <w:rPr>
          <w:rFonts w:cstheme="minorHAnsi"/>
          <w:color w:val="808080" w:themeColor="background1" w:themeShade="80"/>
          <w:lang w:val="en-US"/>
        </w:rPr>
        <w:lastRenderedPageBreak/>
        <w:t>1.</w:t>
      </w:r>
      <w:r w:rsidR="00ED7156" w:rsidRPr="006B6D11">
        <w:rPr>
          <w:rFonts w:cstheme="minorHAnsi"/>
          <w:color w:val="808080" w:themeColor="background1" w:themeShade="80"/>
          <w:lang w:val="en-US"/>
        </w:rPr>
        <w:t xml:space="preserve"> </w:t>
      </w:r>
      <w:r w:rsidR="00ED7156" w:rsidRPr="006B6D11">
        <w:rPr>
          <w:rFonts w:cstheme="minorHAnsi"/>
          <w:lang w:val="en-US"/>
        </w:rPr>
        <w:t xml:space="preserve">Cost sharing principle in case of coordinated actions </w:t>
      </w:r>
      <w:r w:rsidR="00ED7156" w:rsidRPr="008D257D">
        <w:rPr>
          <w:rFonts w:cstheme="minorHAnsi"/>
          <w:color w:val="000000" w:themeColor="text1"/>
          <w:lang w:val="en-US"/>
        </w:rPr>
        <w:t>according to RSC advice</w:t>
      </w:r>
      <w:r w:rsidR="008D257D">
        <w:rPr>
          <w:rFonts w:cstheme="minorHAnsi"/>
          <w:color w:val="000000" w:themeColor="text1"/>
          <w:lang w:val="en-US"/>
        </w:rPr>
        <w:t>.</w:t>
      </w:r>
    </w:p>
    <w:p w14:paraId="790FF2EC" w14:textId="77777777" w:rsidR="00ED7156" w:rsidRPr="006B6D11" w:rsidRDefault="00ED7156" w:rsidP="00ED7156">
      <w:pPr>
        <w:pStyle w:val="textregular"/>
        <w:spacing w:line="276" w:lineRule="auto"/>
        <w:jc w:val="both"/>
        <w:rPr>
          <w:rFonts w:cstheme="minorHAnsi"/>
        </w:rPr>
      </w:pPr>
      <w:r w:rsidRPr="006B6D11">
        <w:rPr>
          <w:rFonts w:cstheme="minorHAnsi"/>
        </w:rPr>
        <w:t xml:space="preserve">In case of coordinated measures, the costs related to remedial actions will be shared according to cost sharing arrangements defined in RD&amp;CT CSP methodology. </w:t>
      </w:r>
    </w:p>
    <w:p w14:paraId="73E73B45" w14:textId="77777777" w:rsidR="00ED7156" w:rsidRPr="006B6D11" w:rsidRDefault="00ED7156" w:rsidP="00ED7156">
      <w:pPr>
        <w:pStyle w:val="textregular"/>
        <w:spacing w:line="276" w:lineRule="auto"/>
        <w:rPr>
          <w:rFonts w:cstheme="minorHAnsi"/>
          <w:lang w:val="en-US"/>
        </w:rPr>
      </w:pPr>
    </w:p>
    <w:p w14:paraId="08D9C9DE" w14:textId="1587433A" w:rsidR="00ED7156" w:rsidRPr="006B6D11" w:rsidRDefault="002E69D3" w:rsidP="00ED7156">
      <w:pPr>
        <w:pStyle w:val="textregular"/>
        <w:spacing w:line="276" w:lineRule="auto"/>
        <w:rPr>
          <w:rFonts w:cstheme="minorHAnsi"/>
          <w:color w:val="808080" w:themeColor="background1" w:themeShade="80"/>
          <w:lang w:val="en-US"/>
        </w:rPr>
      </w:pPr>
      <w:r>
        <w:rPr>
          <w:rFonts w:cstheme="minorHAnsi"/>
          <w:color w:val="808080" w:themeColor="background1" w:themeShade="80"/>
          <w:lang w:val="en-US"/>
        </w:rPr>
        <w:t>2.</w:t>
      </w:r>
      <w:r w:rsidR="00ED7156" w:rsidRPr="006B6D11">
        <w:rPr>
          <w:rFonts w:cstheme="minorHAnsi"/>
          <w:color w:val="808080" w:themeColor="background1" w:themeShade="80"/>
          <w:lang w:val="en-US"/>
        </w:rPr>
        <w:t xml:space="preserve"> </w:t>
      </w:r>
      <w:r w:rsidR="00ED7156" w:rsidRPr="006B6D11">
        <w:rPr>
          <w:rFonts w:cstheme="minorHAnsi"/>
          <w:lang w:val="en-US"/>
        </w:rPr>
        <w:t xml:space="preserve">Cost sharing principle in case of uncoordinated actions </w:t>
      </w:r>
      <w:r w:rsidR="00ED7156" w:rsidRPr="008D257D">
        <w:rPr>
          <w:rFonts w:cstheme="minorHAnsi"/>
          <w:color w:val="000000" w:themeColor="text1"/>
          <w:lang w:val="en-US"/>
        </w:rPr>
        <w:t>deviating from RSC advice</w:t>
      </w:r>
      <w:r w:rsidR="008D257D">
        <w:rPr>
          <w:rFonts w:cstheme="minorHAnsi"/>
          <w:color w:val="000000" w:themeColor="text1"/>
          <w:lang w:val="en-US"/>
        </w:rPr>
        <w:t>.</w:t>
      </w:r>
    </w:p>
    <w:p w14:paraId="245EB320" w14:textId="24333E5D" w:rsidR="00ED7156" w:rsidRPr="006B6D11" w:rsidRDefault="00ED7156" w:rsidP="006B6D11">
      <w:pPr>
        <w:pStyle w:val="textregular"/>
        <w:spacing w:line="276" w:lineRule="auto"/>
        <w:jc w:val="both"/>
        <w:rPr>
          <w:rFonts w:cstheme="minorHAnsi"/>
          <w:lang w:val="en-US"/>
        </w:rPr>
      </w:pPr>
      <w:r w:rsidRPr="006B6D11">
        <w:rPr>
          <w:rFonts w:cstheme="minorHAnsi"/>
          <w:lang w:val="en-US"/>
        </w:rPr>
        <w:t>If TSO decides unilaterally to execute costly remedial actions, the TSO shall bear the additional costs of the uncoordinated remedial action, over costs estimated according to RSC advice.</w:t>
      </w:r>
    </w:p>
    <w:p w14:paraId="462B3881" w14:textId="77777777" w:rsidR="008436BD" w:rsidRDefault="008436BD" w:rsidP="008436BD">
      <w:pPr>
        <w:spacing w:after="120" w:line="260" w:lineRule="exact"/>
        <w:outlineLvl w:val="1"/>
        <w:rPr>
          <w:rFonts w:ascii="Times New Roman" w:hAnsi="Times New Roman" w:cs="Times New Roman"/>
          <w:color w:val="000000" w:themeColor="text1"/>
          <w:lang w:val="en-US"/>
        </w:rPr>
      </w:pPr>
    </w:p>
    <w:p w14:paraId="4CA62235" w14:textId="7E55BEFA" w:rsidR="008436BD" w:rsidRPr="008436BD" w:rsidRDefault="008436BD" w:rsidP="008436BD">
      <w:pPr>
        <w:pStyle w:val="ListParagraph"/>
        <w:numPr>
          <w:ilvl w:val="0"/>
          <w:numId w:val="60"/>
        </w:numPr>
        <w:spacing w:after="120" w:line="260" w:lineRule="exact"/>
        <w:outlineLvl w:val="1"/>
        <w:rPr>
          <w:rFonts w:ascii="Times New Roman" w:hAnsi="Times New Roman"/>
          <w:b/>
          <w:color w:val="000000" w:themeColor="text1"/>
          <w:lang w:val="en-US"/>
        </w:rPr>
      </w:pPr>
      <w:bookmarkStart w:id="11" w:name="_Toc519252671"/>
      <w:r w:rsidRPr="008436BD">
        <w:rPr>
          <w:rFonts w:ascii="Times New Roman" w:hAnsi="Times New Roman"/>
          <w:b/>
          <w:color w:val="000000" w:themeColor="text1"/>
          <w:lang w:val="en-US"/>
        </w:rPr>
        <w:t>Socialization principle</w:t>
      </w:r>
      <w:bookmarkEnd w:id="11"/>
    </w:p>
    <w:p w14:paraId="1C7B320F" w14:textId="1E95AF49" w:rsidR="008436BD" w:rsidRPr="008436BD" w:rsidRDefault="008436BD" w:rsidP="00C16DCC">
      <w:pPr>
        <w:spacing w:after="120" w:line="260" w:lineRule="exact"/>
        <w:jc w:val="both"/>
        <w:outlineLvl w:val="1"/>
        <w:rPr>
          <w:rFonts w:ascii="Times New Roman" w:hAnsi="Times New Roman" w:cs="Times New Roman"/>
          <w:color w:val="000000" w:themeColor="text1"/>
          <w:lang w:val="en-US"/>
        </w:rPr>
      </w:pPr>
      <w:r w:rsidRPr="008436BD">
        <w:rPr>
          <w:rFonts w:ascii="Times New Roman" w:hAnsi="Times New Roman" w:cs="Times New Roman"/>
          <w:color w:val="000000" w:themeColor="text1"/>
          <w:lang w:val="en-US"/>
        </w:rPr>
        <w:t>The FLD methodology</w:t>
      </w:r>
      <w:r>
        <w:rPr>
          <w:rFonts w:ascii="Times New Roman" w:hAnsi="Times New Roman" w:cs="Times New Roman"/>
          <w:color w:val="000000" w:themeColor="text1"/>
          <w:lang w:val="en-US"/>
        </w:rPr>
        <w:t xml:space="preserve"> </w:t>
      </w:r>
      <w:r w:rsidRPr="008436BD">
        <w:rPr>
          <w:rFonts w:ascii="Times New Roman" w:hAnsi="Times New Roman" w:cs="Times New Roman"/>
          <w:color w:val="000000" w:themeColor="text1"/>
          <w:lang w:val="en-US"/>
        </w:rPr>
        <w:t xml:space="preserve">allows </w:t>
      </w:r>
      <w:proofErr w:type="gramStart"/>
      <w:r w:rsidRPr="008436BD">
        <w:rPr>
          <w:rFonts w:ascii="Times New Roman" w:hAnsi="Times New Roman" w:cs="Times New Roman"/>
          <w:color w:val="000000" w:themeColor="text1"/>
          <w:lang w:val="en-US"/>
        </w:rPr>
        <w:t>to identify</w:t>
      </w:r>
      <w:proofErr w:type="gramEnd"/>
      <w:r w:rsidRPr="008436BD">
        <w:rPr>
          <w:rFonts w:ascii="Times New Roman" w:hAnsi="Times New Roman" w:cs="Times New Roman"/>
          <w:color w:val="000000" w:themeColor="text1"/>
          <w:lang w:val="en-US"/>
        </w:rPr>
        <w:t xml:space="preserve"> the causer of the congestion (the contribution of each TSO to the congested element), however, not all TSOs can be considered in the settlement process, but only the ones that are members of the SEE CCR. The cost related to the TSOs outside the SEE CCR has to be socialized. </w:t>
      </w:r>
    </w:p>
    <w:p w14:paraId="3D3C2505" w14:textId="77777777" w:rsidR="008436BD" w:rsidRPr="008436BD" w:rsidRDefault="008436BD" w:rsidP="00C16DCC">
      <w:pPr>
        <w:spacing w:after="120" w:line="260" w:lineRule="exact"/>
        <w:jc w:val="both"/>
        <w:outlineLvl w:val="1"/>
        <w:rPr>
          <w:rFonts w:ascii="Times New Roman" w:hAnsi="Times New Roman" w:cs="Times New Roman"/>
          <w:color w:val="000000" w:themeColor="text1"/>
          <w:lang w:val="en-US"/>
        </w:rPr>
      </w:pPr>
      <w:r w:rsidRPr="008436BD">
        <w:rPr>
          <w:rFonts w:ascii="Times New Roman" w:hAnsi="Times New Roman" w:cs="Times New Roman"/>
          <w:color w:val="000000" w:themeColor="text1"/>
          <w:lang w:val="en-US"/>
        </w:rPr>
        <w:t>Different principles for the socialization of such costs have been identified:</w:t>
      </w:r>
    </w:p>
    <w:p w14:paraId="4764F3CD" w14:textId="77777777" w:rsidR="008436BD" w:rsidRPr="008436BD" w:rsidRDefault="008436BD" w:rsidP="00C16DCC">
      <w:pPr>
        <w:numPr>
          <w:ilvl w:val="0"/>
          <w:numId w:val="61"/>
        </w:numPr>
        <w:spacing w:after="120" w:line="260" w:lineRule="exact"/>
        <w:jc w:val="both"/>
        <w:outlineLvl w:val="1"/>
        <w:rPr>
          <w:rFonts w:ascii="Times New Roman" w:hAnsi="Times New Roman" w:cs="Times New Roman"/>
          <w:color w:val="000000" w:themeColor="text1"/>
          <w:lang w:val="en-US"/>
        </w:rPr>
      </w:pPr>
      <w:r w:rsidRPr="008436BD">
        <w:rPr>
          <w:rFonts w:ascii="Times New Roman" w:hAnsi="Times New Roman" w:cs="Times New Roman"/>
          <w:color w:val="000000" w:themeColor="text1"/>
          <w:lang w:val="en-US"/>
        </w:rPr>
        <w:t>based on equal burden principle</w:t>
      </w:r>
    </w:p>
    <w:p w14:paraId="06E9E827" w14:textId="77777777" w:rsidR="008436BD" w:rsidRPr="008436BD" w:rsidRDefault="008436BD" w:rsidP="00C16DCC">
      <w:pPr>
        <w:numPr>
          <w:ilvl w:val="0"/>
          <w:numId w:val="61"/>
        </w:numPr>
        <w:spacing w:after="120" w:line="260" w:lineRule="exact"/>
        <w:jc w:val="both"/>
        <w:outlineLvl w:val="1"/>
        <w:rPr>
          <w:rFonts w:ascii="Times New Roman" w:hAnsi="Times New Roman" w:cs="Times New Roman"/>
          <w:color w:val="000000" w:themeColor="text1"/>
          <w:lang w:val="en-US"/>
        </w:rPr>
      </w:pPr>
      <w:r w:rsidRPr="008436BD">
        <w:rPr>
          <w:rFonts w:ascii="Times New Roman" w:hAnsi="Times New Roman" w:cs="Times New Roman"/>
          <w:color w:val="000000" w:themeColor="text1"/>
          <w:lang w:val="en-US"/>
        </w:rPr>
        <w:t>based on number of consumers</w:t>
      </w:r>
    </w:p>
    <w:p w14:paraId="567BCA20" w14:textId="77777777" w:rsidR="008436BD" w:rsidRPr="008436BD" w:rsidRDefault="008436BD" w:rsidP="00C16DCC">
      <w:pPr>
        <w:numPr>
          <w:ilvl w:val="0"/>
          <w:numId w:val="61"/>
        </w:numPr>
        <w:spacing w:after="120" w:line="260" w:lineRule="exact"/>
        <w:jc w:val="both"/>
        <w:outlineLvl w:val="1"/>
        <w:rPr>
          <w:rFonts w:ascii="Times New Roman" w:hAnsi="Times New Roman" w:cs="Times New Roman"/>
          <w:color w:val="000000" w:themeColor="text1"/>
          <w:lang w:val="en-US"/>
        </w:rPr>
      </w:pPr>
      <w:r w:rsidRPr="008436BD">
        <w:rPr>
          <w:rFonts w:ascii="Times New Roman" w:hAnsi="Times New Roman" w:cs="Times New Roman"/>
          <w:color w:val="000000" w:themeColor="text1"/>
          <w:lang w:val="en-US"/>
        </w:rPr>
        <w:t xml:space="preserve">proportional to congestion income/NTCs </w:t>
      </w:r>
    </w:p>
    <w:p w14:paraId="66062309" w14:textId="77777777" w:rsidR="008436BD" w:rsidRPr="008436BD" w:rsidRDefault="008436BD" w:rsidP="00C16DCC">
      <w:pPr>
        <w:spacing w:after="120" w:line="260" w:lineRule="exact"/>
        <w:jc w:val="both"/>
        <w:outlineLvl w:val="1"/>
        <w:rPr>
          <w:rFonts w:ascii="Times New Roman" w:hAnsi="Times New Roman" w:cs="Times New Roman"/>
          <w:color w:val="000000" w:themeColor="text1"/>
          <w:lang w:val="en-US"/>
        </w:rPr>
      </w:pPr>
      <w:r w:rsidRPr="008436BD">
        <w:rPr>
          <w:rFonts w:ascii="Times New Roman" w:hAnsi="Times New Roman" w:cs="Times New Roman"/>
          <w:color w:val="000000" w:themeColor="text1"/>
          <w:lang w:val="en-US"/>
        </w:rPr>
        <w:t xml:space="preserve">Based on the fact that the RO-BG-GR connection is </w:t>
      </w:r>
      <w:proofErr w:type="gramStart"/>
      <w:r w:rsidRPr="008436BD">
        <w:rPr>
          <w:rFonts w:ascii="Times New Roman" w:hAnsi="Times New Roman" w:cs="Times New Roman"/>
          <w:color w:val="000000" w:themeColor="text1"/>
          <w:lang w:val="en-US"/>
        </w:rPr>
        <w:t>a single root connection with basically a very large of interconnections surround</w:t>
      </w:r>
      <w:proofErr w:type="gramEnd"/>
      <w:r w:rsidRPr="008436BD">
        <w:rPr>
          <w:rFonts w:ascii="Times New Roman" w:hAnsi="Times New Roman" w:cs="Times New Roman"/>
          <w:color w:val="000000" w:themeColor="text1"/>
          <w:lang w:val="en-US"/>
        </w:rPr>
        <w:t xml:space="preserve"> it, the loop flows impact is very high. SEE TSOs consider that the equal burden share represents a good and justified approach since it can be used in order to avoid conflicts among TSOs for a physical network distribution in which they are not responsible. </w:t>
      </w:r>
    </w:p>
    <w:p w14:paraId="3763578E" w14:textId="1A2F8CD3" w:rsidR="00C16DCC" w:rsidRDefault="00C16DCC" w:rsidP="00C16DCC">
      <w:pPr>
        <w:rPr>
          <w:rFonts w:cstheme="minorHAnsi"/>
          <w:lang w:val="en-US" w:eastAsia="en-GB"/>
        </w:rPr>
      </w:pPr>
      <w:r w:rsidRPr="001447CE">
        <w:rPr>
          <w:rFonts w:cstheme="minorHAnsi"/>
          <w:lang w:val="en-US" w:eastAsia="en-GB"/>
        </w:rPr>
        <w:t xml:space="preserve">The external costs are shared equally between the SEE </w:t>
      </w:r>
      <w:r w:rsidR="000A08C2">
        <w:rPr>
          <w:rFonts w:cstheme="minorHAnsi"/>
          <w:lang w:val="en-US" w:eastAsia="en-GB"/>
        </w:rPr>
        <w:t>CCR</w:t>
      </w:r>
      <w:r w:rsidRPr="001447CE">
        <w:rPr>
          <w:rFonts w:cstheme="minorHAnsi"/>
          <w:lang w:val="en-US" w:eastAsia="en-GB"/>
        </w:rPr>
        <w:t xml:space="preserve"> TSOs. </w:t>
      </w:r>
    </w:p>
    <w:p w14:paraId="18BA8C9A" w14:textId="77777777" w:rsidR="00C16DCC" w:rsidRDefault="00C16DCC" w:rsidP="00C16DCC">
      <w:pPr>
        <w:rPr>
          <w:rFonts w:cstheme="minorHAnsi"/>
          <w:lang w:val="en-US" w:eastAsia="en-GB"/>
        </w:rPr>
      </w:pPr>
    </w:p>
    <w:p w14:paraId="7AF4B4E3" w14:textId="77777777" w:rsidR="008436BD" w:rsidRDefault="008436BD" w:rsidP="00C53B9A">
      <w:pPr>
        <w:rPr>
          <w:rFonts w:cstheme="minorHAnsi"/>
          <w:lang w:val="en-US" w:eastAsia="en-GB"/>
        </w:rPr>
      </w:pPr>
    </w:p>
    <w:p w14:paraId="3E943D91" w14:textId="4F83464A" w:rsidR="008436BD" w:rsidRPr="00426EB8" w:rsidRDefault="008436BD" w:rsidP="008436BD">
      <w:pPr>
        <w:pStyle w:val="ListParagraph"/>
        <w:numPr>
          <w:ilvl w:val="0"/>
          <w:numId w:val="60"/>
        </w:numPr>
        <w:rPr>
          <w:rFonts w:asciiTheme="minorHAnsi" w:hAnsiTheme="minorHAnsi" w:cstheme="minorHAnsi"/>
          <w:b/>
          <w:lang w:val="en-US" w:eastAsia="en-GB"/>
        </w:rPr>
      </w:pPr>
      <w:bookmarkStart w:id="12" w:name="_Toc519252672"/>
      <w:r w:rsidRPr="00426EB8">
        <w:rPr>
          <w:rFonts w:asciiTheme="minorHAnsi" w:hAnsiTheme="minorHAnsi" w:cstheme="minorHAnsi"/>
          <w:b/>
          <w:lang w:val="en-US" w:eastAsia="en-GB"/>
        </w:rPr>
        <w:t>Prioritization principle</w:t>
      </w:r>
      <w:bookmarkEnd w:id="12"/>
    </w:p>
    <w:p w14:paraId="580AB86B" w14:textId="796B2855" w:rsidR="008436BD" w:rsidRPr="008436BD" w:rsidRDefault="008436BD" w:rsidP="008436BD">
      <w:pPr>
        <w:jc w:val="both"/>
        <w:rPr>
          <w:rFonts w:cstheme="minorHAnsi"/>
          <w:lang w:val="en-US" w:eastAsia="en-GB"/>
        </w:rPr>
      </w:pPr>
      <w:r w:rsidRPr="008436BD">
        <w:rPr>
          <w:rFonts w:cstheme="minorHAnsi"/>
          <w:lang w:val="en-AU" w:eastAsia="en-GB"/>
        </w:rPr>
        <w:t xml:space="preserve">The power flow decomposition methodologies allow </w:t>
      </w:r>
      <w:proofErr w:type="gramStart"/>
      <w:r w:rsidRPr="008436BD">
        <w:rPr>
          <w:rFonts w:cstheme="minorHAnsi"/>
          <w:lang w:val="en-AU" w:eastAsia="en-GB"/>
        </w:rPr>
        <w:t>to distinguish</w:t>
      </w:r>
      <w:proofErr w:type="gramEnd"/>
      <w:r w:rsidRPr="008436BD">
        <w:rPr>
          <w:rFonts w:cstheme="minorHAnsi"/>
          <w:lang w:val="en-AU" w:eastAsia="en-GB"/>
        </w:rPr>
        <w:t xml:space="preserve"> the kind of flow on the congested element: </w:t>
      </w:r>
      <w:r w:rsidRPr="008436BD">
        <w:rPr>
          <w:rFonts w:cstheme="minorHAnsi"/>
          <w:lang w:val="en-US" w:eastAsia="en-GB"/>
        </w:rPr>
        <w:t xml:space="preserve">internal flow, loop flows, export/import flow and transit flow </w:t>
      </w:r>
    </w:p>
    <w:p w14:paraId="2E51CB6C" w14:textId="77777777" w:rsidR="008436BD" w:rsidRDefault="008436BD" w:rsidP="008436BD">
      <w:pPr>
        <w:jc w:val="both"/>
        <w:rPr>
          <w:rFonts w:cstheme="minorHAnsi"/>
          <w:lang w:val="en-US" w:eastAsia="en-GB"/>
        </w:rPr>
      </w:pPr>
      <w:r w:rsidRPr="008436BD">
        <w:rPr>
          <w:rFonts w:cstheme="minorHAnsi"/>
          <w:lang w:val="en-US" w:eastAsia="en-GB"/>
        </w:rPr>
        <w:t>The prioritization of flows aims at defining a prioritization approach for allocating the costs to the different types of flows.</w:t>
      </w:r>
    </w:p>
    <w:p w14:paraId="47B0AA8A" w14:textId="77777777" w:rsidR="00C16DCC" w:rsidRPr="008436BD" w:rsidRDefault="00C16DCC" w:rsidP="008436BD">
      <w:pPr>
        <w:jc w:val="both"/>
        <w:rPr>
          <w:rFonts w:cstheme="minorHAnsi"/>
          <w:lang w:val="en-US" w:eastAsia="en-GB"/>
        </w:rPr>
      </w:pPr>
    </w:p>
    <w:p w14:paraId="12F5ACF4" w14:textId="77777777" w:rsidR="008436BD" w:rsidRDefault="008436BD" w:rsidP="008436BD">
      <w:pPr>
        <w:jc w:val="both"/>
        <w:rPr>
          <w:rFonts w:cstheme="minorHAnsi"/>
          <w:lang w:val="en-US" w:eastAsia="en-GB"/>
        </w:rPr>
      </w:pPr>
      <w:r w:rsidRPr="008436BD">
        <w:rPr>
          <w:rFonts w:cstheme="minorHAnsi"/>
          <w:lang w:val="en-US" w:eastAsia="en-GB"/>
        </w:rPr>
        <w:t>Two different approaches have been identified to calculate the sharing keys in relation to the different kind of flows:</w:t>
      </w:r>
    </w:p>
    <w:p w14:paraId="1C1B6100" w14:textId="77777777" w:rsidR="008436BD" w:rsidRPr="008436BD" w:rsidRDefault="008436BD" w:rsidP="008436BD">
      <w:pPr>
        <w:jc w:val="both"/>
        <w:rPr>
          <w:rFonts w:cstheme="minorHAnsi"/>
          <w:lang w:val="en-US" w:eastAsia="en-GB"/>
        </w:rPr>
      </w:pPr>
    </w:p>
    <w:p w14:paraId="75F8C163" w14:textId="30839B7C" w:rsidR="008436BD" w:rsidRPr="008436BD" w:rsidRDefault="008436BD" w:rsidP="008436BD">
      <w:pPr>
        <w:numPr>
          <w:ilvl w:val="0"/>
          <w:numId w:val="62"/>
        </w:numPr>
        <w:jc w:val="both"/>
        <w:rPr>
          <w:rFonts w:cstheme="minorHAnsi"/>
          <w:lang w:val="en-US" w:eastAsia="en-GB"/>
        </w:rPr>
      </w:pPr>
      <w:r w:rsidRPr="008436BD">
        <w:rPr>
          <w:rFonts w:cstheme="minorHAnsi"/>
          <w:lang w:val="en-US" w:eastAsia="en-GB"/>
        </w:rPr>
        <w:t>Proportional: different flow types are equally considered</w:t>
      </w:r>
      <w:r w:rsidR="004C1A8B">
        <w:rPr>
          <w:rFonts w:cstheme="minorHAnsi"/>
          <w:lang w:val="en-US" w:eastAsia="en-GB"/>
        </w:rPr>
        <w:t>.</w:t>
      </w:r>
    </w:p>
    <w:p w14:paraId="5D60083F" w14:textId="53472DA1" w:rsidR="00DF1356" w:rsidRDefault="008436BD" w:rsidP="00DF1356">
      <w:pPr>
        <w:numPr>
          <w:ilvl w:val="0"/>
          <w:numId w:val="62"/>
        </w:numPr>
        <w:jc w:val="both"/>
        <w:rPr>
          <w:rFonts w:cstheme="minorHAnsi"/>
          <w:lang w:val="en-US" w:eastAsia="en-GB"/>
        </w:rPr>
      </w:pPr>
      <w:r w:rsidRPr="008436BD">
        <w:rPr>
          <w:rFonts w:cstheme="minorHAnsi"/>
          <w:lang w:val="en-US" w:eastAsia="en-GB"/>
        </w:rPr>
        <w:t>Prioritization: hierarchical approach, which use a strict order of the different flow types (e.g. loop and internal flows first, exchange flows afterwards) and punish them as a priority list.</w:t>
      </w:r>
      <w:r w:rsidR="00F305F3">
        <w:rPr>
          <w:rFonts w:cstheme="minorHAnsi"/>
          <w:lang w:val="en-US" w:eastAsia="en-GB"/>
        </w:rPr>
        <w:t xml:space="preserve"> </w:t>
      </w:r>
      <w:bookmarkStart w:id="13" w:name="_GoBack"/>
      <w:bookmarkEnd w:id="13"/>
      <w:r w:rsidR="00DF1356" w:rsidRPr="008436BD">
        <w:rPr>
          <w:rFonts w:cstheme="minorHAnsi"/>
          <w:lang w:val="en-US" w:eastAsia="en-GB"/>
        </w:rPr>
        <w:t>Different thresholds (TH) for different type of flows could be introduced. For instance, loop flow TH=10% means that only the loop flows that exceed the 10% of the capacity of the congested element are considered on the calculation of the sharing keys.</w:t>
      </w:r>
      <w:r w:rsidR="00DF1356" w:rsidRPr="00DF1356">
        <w:rPr>
          <w:rFonts w:cstheme="minorHAnsi"/>
          <w:lang w:val="en-US" w:eastAsia="en-GB"/>
        </w:rPr>
        <w:t xml:space="preserve"> </w:t>
      </w:r>
      <w:r w:rsidR="00DF1356" w:rsidRPr="008436BD">
        <w:rPr>
          <w:rFonts w:cstheme="minorHAnsi"/>
          <w:lang w:val="en-US" w:eastAsia="en-GB"/>
        </w:rPr>
        <w:t>For the SEE CCR in line with ACER and ENTSO-e recommendations, the prioritization is used with the TH=0</w:t>
      </w:r>
      <w:r w:rsidR="00EE2D98">
        <w:rPr>
          <w:rFonts w:cstheme="minorHAnsi"/>
          <w:lang w:val="en-US" w:eastAsia="en-GB"/>
        </w:rPr>
        <w:t xml:space="preserve"> % </w:t>
      </w:r>
      <w:r w:rsidR="00DF1356" w:rsidRPr="008436BD">
        <w:rPr>
          <w:rFonts w:cstheme="minorHAnsi"/>
          <w:lang w:val="en-US" w:eastAsia="en-GB"/>
        </w:rPr>
        <w:t xml:space="preserve">for loop flows. </w:t>
      </w:r>
    </w:p>
    <w:p w14:paraId="631FEE5F" w14:textId="77777777" w:rsidR="008436BD" w:rsidRDefault="008436BD" w:rsidP="0030591F">
      <w:pPr>
        <w:jc w:val="both"/>
        <w:rPr>
          <w:rFonts w:cstheme="minorHAnsi"/>
          <w:lang w:val="en-US" w:eastAsia="en-GB"/>
        </w:rPr>
      </w:pPr>
    </w:p>
    <w:p w14:paraId="6EBF85FC" w14:textId="77777777" w:rsidR="0030591F" w:rsidRPr="008436BD" w:rsidRDefault="0030591F" w:rsidP="0030591F">
      <w:pPr>
        <w:jc w:val="both"/>
        <w:rPr>
          <w:rFonts w:cstheme="minorHAnsi"/>
          <w:lang w:val="en-US" w:eastAsia="en-GB"/>
        </w:rPr>
      </w:pPr>
    </w:p>
    <w:p w14:paraId="72720AF6" w14:textId="77777777" w:rsidR="008436BD" w:rsidRPr="008436BD" w:rsidRDefault="008436BD" w:rsidP="008436BD">
      <w:pPr>
        <w:ind w:left="720"/>
        <w:rPr>
          <w:rFonts w:cstheme="minorHAnsi"/>
          <w:lang w:val="en-US" w:eastAsia="en-GB"/>
        </w:rPr>
      </w:pPr>
    </w:p>
    <w:p w14:paraId="37B8716E" w14:textId="224A9DBE" w:rsidR="00730146" w:rsidRPr="0030591F" w:rsidRDefault="008436BD" w:rsidP="0030591F">
      <w:pPr>
        <w:rPr>
          <w:rFonts w:cstheme="minorHAnsi"/>
          <w:lang w:val="en-US" w:eastAsia="en-GB"/>
        </w:rPr>
      </w:pPr>
      <w:r w:rsidRPr="008436BD">
        <w:rPr>
          <w:rFonts w:cstheme="minorHAnsi"/>
          <w:noProof/>
          <w:lang w:eastAsia="en-GB"/>
        </w:rPr>
        <w:lastRenderedPageBreak/>
        <w:drawing>
          <wp:inline distT="0" distB="0" distL="0" distR="0" wp14:anchorId="4769F05A" wp14:editId="46369A77">
            <wp:extent cx="2080081" cy="1441095"/>
            <wp:effectExtent l="0" t="0" r="0" b="698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627" cy="1449094"/>
                    </a:xfrm>
                    <a:prstGeom prst="rect">
                      <a:avLst/>
                    </a:prstGeom>
                    <a:noFill/>
                  </pic:spPr>
                </pic:pic>
              </a:graphicData>
            </a:graphic>
          </wp:inline>
        </w:drawing>
      </w:r>
      <w:r w:rsidRPr="008436BD">
        <w:rPr>
          <w:rFonts w:cstheme="minorHAnsi"/>
          <w:lang w:val="it-IT" w:eastAsia="en-GB"/>
        </w:rPr>
        <w:t xml:space="preserve">                   </w:t>
      </w:r>
      <w:r w:rsidRPr="008436BD">
        <w:rPr>
          <w:rFonts w:cstheme="minorHAnsi"/>
          <w:noProof/>
          <w:lang w:eastAsia="en-GB"/>
        </w:rPr>
        <w:drawing>
          <wp:inline distT="0" distB="0" distL="0" distR="0" wp14:anchorId="37D0A50B" wp14:editId="5A585A5B">
            <wp:extent cx="2104466" cy="1440706"/>
            <wp:effectExtent l="0" t="0" r="0" b="7620"/>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8026" cy="1456835"/>
                    </a:xfrm>
                    <a:prstGeom prst="rect">
                      <a:avLst/>
                    </a:prstGeom>
                    <a:noFill/>
                  </pic:spPr>
                </pic:pic>
              </a:graphicData>
            </a:graphic>
          </wp:inline>
        </w:drawing>
      </w:r>
    </w:p>
    <w:p w14:paraId="28701878" w14:textId="77777777" w:rsidR="002653A0" w:rsidRDefault="002653A0" w:rsidP="002653A0">
      <w:pPr>
        <w:spacing w:after="120" w:line="260" w:lineRule="exact"/>
        <w:jc w:val="center"/>
        <w:outlineLvl w:val="1"/>
        <w:rPr>
          <w:rFonts w:cstheme="minorHAnsi"/>
          <w:b/>
          <w:color w:val="23236E" w:themeColor="text2"/>
          <w:lang w:val="en-US"/>
        </w:rPr>
      </w:pPr>
    </w:p>
    <w:p w14:paraId="7DE0E448" w14:textId="7863D1AF" w:rsidR="00C16DCC" w:rsidRPr="00C16DCC" w:rsidRDefault="00C16DCC" w:rsidP="002653A0">
      <w:pPr>
        <w:spacing w:after="120" w:line="260" w:lineRule="exact"/>
        <w:jc w:val="center"/>
        <w:outlineLvl w:val="1"/>
        <w:rPr>
          <w:rFonts w:cstheme="minorHAnsi"/>
          <w:b/>
          <w:color w:val="23236E" w:themeColor="text2"/>
          <w:lang w:val="en-US"/>
        </w:rPr>
      </w:pPr>
      <w:r w:rsidRPr="00C16DCC">
        <w:rPr>
          <w:rFonts w:cstheme="minorHAnsi"/>
          <w:b/>
          <w:color w:val="23236E" w:themeColor="text2"/>
          <w:lang w:val="en-US"/>
        </w:rPr>
        <w:t>Figure 3</w:t>
      </w:r>
    </w:p>
    <w:p w14:paraId="7F7F3674" w14:textId="77777777" w:rsidR="0023487A" w:rsidRPr="00495CAF" w:rsidRDefault="0023487A" w:rsidP="00FD0844">
      <w:pPr>
        <w:spacing w:after="120" w:line="260" w:lineRule="exact"/>
        <w:outlineLvl w:val="1"/>
        <w:rPr>
          <w:rFonts w:cstheme="minorHAnsi"/>
          <w:b/>
          <w:color w:val="23236E" w:themeColor="text2"/>
          <w:sz w:val="24"/>
          <w:szCs w:val="24"/>
          <w:lang w:val="en-US"/>
        </w:rPr>
      </w:pPr>
    </w:p>
    <w:p w14:paraId="07F8E20C" w14:textId="56EDC9B9" w:rsidR="0069706C" w:rsidRDefault="00067A4B" w:rsidP="00426EB8">
      <w:pPr>
        <w:spacing w:after="120" w:line="260" w:lineRule="exact"/>
        <w:jc w:val="center"/>
        <w:outlineLvl w:val="1"/>
        <w:rPr>
          <w:rFonts w:cstheme="minorHAnsi"/>
          <w:color w:val="23236E" w:themeColor="text2"/>
          <w:sz w:val="24"/>
          <w:szCs w:val="24"/>
          <w:lang w:val="en-US"/>
        </w:rPr>
      </w:pPr>
      <w:r w:rsidRPr="00495CAF">
        <w:rPr>
          <w:rFonts w:cstheme="minorHAnsi"/>
          <w:b/>
          <w:color w:val="23236E" w:themeColor="text2"/>
          <w:sz w:val="24"/>
          <w:szCs w:val="24"/>
          <w:lang w:val="en-US"/>
        </w:rPr>
        <w:t xml:space="preserve">Article </w:t>
      </w:r>
      <w:r>
        <w:rPr>
          <w:rFonts w:cstheme="minorHAnsi"/>
          <w:b/>
          <w:color w:val="23236E" w:themeColor="text2"/>
          <w:sz w:val="24"/>
          <w:szCs w:val="24"/>
          <w:lang w:val="en-US"/>
        </w:rPr>
        <w:t>1</w:t>
      </w:r>
      <w:r w:rsidR="001447CE">
        <w:rPr>
          <w:rFonts w:cstheme="minorHAnsi"/>
          <w:b/>
          <w:color w:val="23236E" w:themeColor="text2"/>
          <w:sz w:val="24"/>
          <w:szCs w:val="24"/>
          <w:lang w:val="en-US"/>
        </w:rPr>
        <w:t>1</w:t>
      </w:r>
      <w:r w:rsidRPr="00495CAF">
        <w:rPr>
          <w:rFonts w:cstheme="minorHAnsi"/>
          <w:b/>
          <w:color w:val="23236E" w:themeColor="text2"/>
          <w:sz w:val="24"/>
          <w:szCs w:val="24"/>
          <w:lang w:val="en-US"/>
        </w:rPr>
        <w:br/>
      </w:r>
      <w:r w:rsidR="00495CAF" w:rsidRPr="00D16C65">
        <w:rPr>
          <w:rFonts w:cstheme="minorHAnsi"/>
          <w:b/>
          <w:color w:val="23236E" w:themeColor="text2"/>
          <w:sz w:val="24"/>
          <w:szCs w:val="28"/>
          <w:lang w:val="en-US"/>
        </w:rPr>
        <w:br/>
      </w:r>
      <w:r w:rsidR="00495CAF">
        <w:rPr>
          <w:rFonts w:ascii="Times New Roman" w:hAnsi="Times New Roman" w:cstheme="majorHAnsi"/>
          <w:b/>
          <w:color w:val="23236E" w:themeColor="text2"/>
          <w:sz w:val="24"/>
          <w:szCs w:val="28"/>
          <w:lang w:val="en-US"/>
        </w:rPr>
        <w:t xml:space="preserve">Monitoring </w:t>
      </w:r>
    </w:p>
    <w:p w14:paraId="79E128FC" w14:textId="77777777" w:rsidR="00E0474C" w:rsidRDefault="00E0474C" w:rsidP="00E65D68">
      <w:pPr>
        <w:spacing w:after="120" w:line="260" w:lineRule="exact"/>
        <w:outlineLvl w:val="1"/>
        <w:rPr>
          <w:rFonts w:cstheme="minorHAnsi"/>
          <w:lang w:val="en-US"/>
        </w:rPr>
      </w:pPr>
    </w:p>
    <w:p w14:paraId="0C91950B" w14:textId="77777777" w:rsidR="00E0474C" w:rsidRDefault="00E0474C" w:rsidP="00E0474C">
      <w:pPr>
        <w:spacing w:after="120" w:line="260" w:lineRule="exact"/>
        <w:jc w:val="both"/>
        <w:outlineLvl w:val="1"/>
        <w:rPr>
          <w:rFonts w:cstheme="minorHAnsi"/>
          <w:lang w:val="en-US"/>
        </w:rPr>
      </w:pPr>
      <w:r w:rsidRPr="00E0474C">
        <w:rPr>
          <w:rFonts w:cstheme="minorHAnsi"/>
          <w:lang w:val="en-US"/>
        </w:rPr>
        <w:t xml:space="preserve">For every activation of a remedial action, regardless if countertrading or </w:t>
      </w:r>
      <w:proofErr w:type="spellStart"/>
      <w:r w:rsidRPr="00E0474C">
        <w:rPr>
          <w:rFonts w:cstheme="minorHAnsi"/>
          <w:lang w:val="en-US"/>
        </w:rPr>
        <w:t>redispatching</w:t>
      </w:r>
      <w:proofErr w:type="spellEnd"/>
      <w:r w:rsidRPr="00E0474C">
        <w:rPr>
          <w:rFonts w:cstheme="minorHAnsi"/>
          <w:lang w:val="en-US"/>
        </w:rPr>
        <w:t xml:space="preserve"> is </w:t>
      </w:r>
      <w:proofErr w:type="gramStart"/>
      <w:r w:rsidRPr="00E0474C">
        <w:rPr>
          <w:rFonts w:cstheme="minorHAnsi"/>
          <w:lang w:val="en-US"/>
        </w:rPr>
        <w:t>applied,</w:t>
      </w:r>
      <w:proofErr w:type="gramEnd"/>
      <w:r w:rsidRPr="00E0474C">
        <w:rPr>
          <w:rFonts w:cstheme="minorHAnsi"/>
          <w:lang w:val="en-US"/>
        </w:rPr>
        <w:t xml:space="preserve"> a set of data shall be stored in a central database. The documentation shall be such that it allows for a yearly review for improvement. </w:t>
      </w:r>
    </w:p>
    <w:p w14:paraId="228EFD60" w14:textId="480F71EE" w:rsidR="00E0474C" w:rsidRPr="00E0474C" w:rsidRDefault="00E0474C" w:rsidP="00E0474C">
      <w:pPr>
        <w:spacing w:after="120" w:line="260" w:lineRule="exact"/>
        <w:jc w:val="both"/>
        <w:outlineLvl w:val="1"/>
        <w:rPr>
          <w:rFonts w:cstheme="minorHAnsi"/>
          <w:lang w:val="en-US"/>
        </w:rPr>
      </w:pPr>
      <w:r w:rsidRPr="00E0474C">
        <w:rPr>
          <w:rFonts w:cstheme="minorHAnsi"/>
          <w:lang w:val="en-US"/>
        </w:rPr>
        <w:t xml:space="preserve">The following process steps shall be documented on the central database </w:t>
      </w:r>
      <w:proofErr w:type="gramStart"/>
      <w:r w:rsidRPr="00E0474C">
        <w:rPr>
          <w:rFonts w:cstheme="minorHAnsi"/>
          <w:lang w:val="en-US"/>
        </w:rPr>
        <w:t>for each activation</w:t>
      </w:r>
      <w:proofErr w:type="gramEnd"/>
      <w:r w:rsidRPr="00E0474C">
        <w:rPr>
          <w:rFonts w:cstheme="minorHAnsi"/>
          <w:lang w:val="en-US"/>
        </w:rPr>
        <w:t xml:space="preserve"> of a remedial action:</w:t>
      </w:r>
    </w:p>
    <w:p w14:paraId="629B01BF" w14:textId="77777777" w:rsidR="00E0474C" w:rsidRPr="00E0474C" w:rsidRDefault="00E0474C" w:rsidP="00E0474C">
      <w:pPr>
        <w:spacing w:after="120" w:line="260" w:lineRule="exact"/>
        <w:jc w:val="both"/>
        <w:outlineLvl w:val="1"/>
        <w:rPr>
          <w:rFonts w:cstheme="minorHAnsi"/>
          <w:lang w:val="en-US"/>
        </w:rPr>
      </w:pPr>
      <w:r w:rsidRPr="00E0474C">
        <w:rPr>
          <w:rFonts w:cstheme="minorHAnsi"/>
          <w:lang w:val="en-US"/>
        </w:rPr>
        <w:t xml:space="preserve">a) </w:t>
      </w:r>
      <w:proofErr w:type="gramStart"/>
      <w:r w:rsidRPr="00E0474C">
        <w:rPr>
          <w:rFonts w:cstheme="minorHAnsi"/>
          <w:lang w:val="en-US"/>
        </w:rPr>
        <w:t>the</w:t>
      </w:r>
      <w:proofErr w:type="gramEnd"/>
      <w:r w:rsidRPr="00E0474C">
        <w:rPr>
          <w:rFonts w:cstheme="minorHAnsi"/>
          <w:lang w:val="en-US"/>
        </w:rPr>
        <w:t xml:space="preserve"> security violation;</w:t>
      </w:r>
    </w:p>
    <w:p w14:paraId="6F9EED3A" w14:textId="77777777" w:rsidR="00E0474C" w:rsidRPr="00E0474C" w:rsidRDefault="00E0474C" w:rsidP="00E0474C">
      <w:pPr>
        <w:spacing w:after="120" w:line="260" w:lineRule="exact"/>
        <w:jc w:val="both"/>
        <w:outlineLvl w:val="1"/>
        <w:rPr>
          <w:rFonts w:cstheme="minorHAnsi"/>
          <w:lang w:val="en-US"/>
        </w:rPr>
      </w:pPr>
      <w:r w:rsidRPr="00E0474C">
        <w:rPr>
          <w:rFonts w:cstheme="minorHAnsi"/>
          <w:lang w:val="en-US"/>
        </w:rPr>
        <w:t xml:space="preserve">b) </w:t>
      </w:r>
      <w:proofErr w:type="gramStart"/>
      <w:r w:rsidRPr="00E0474C">
        <w:rPr>
          <w:rFonts w:cstheme="minorHAnsi"/>
          <w:lang w:val="en-US"/>
        </w:rPr>
        <w:t>the</w:t>
      </w:r>
      <w:proofErr w:type="gramEnd"/>
      <w:r w:rsidRPr="00E0474C">
        <w:rPr>
          <w:rFonts w:cstheme="minorHAnsi"/>
          <w:lang w:val="en-US"/>
        </w:rPr>
        <w:t xml:space="preserve"> grid model used for the decision for the remedial action, i.e. the grid model that shows the overload;</w:t>
      </w:r>
    </w:p>
    <w:p w14:paraId="3EFFB90A" w14:textId="77777777" w:rsidR="00E0474C" w:rsidRPr="00E0474C" w:rsidRDefault="00E0474C" w:rsidP="00E0474C">
      <w:pPr>
        <w:spacing w:after="120" w:line="260" w:lineRule="exact"/>
        <w:jc w:val="both"/>
        <w:outlineLvl w:val="1"/>
        <w:rPr>
          <w:rFonts w:cstheme="minorHAnsi"/>
          <w:lang w:val="en-US"/>
        </w:rPr>
      </w:pPr>
      <w:r w:rsidRPr="00E0474C">
        <w:rPr>
          <w:rFonts w:cstheme="minorHAnsi"/>
          <w:lang w:val="en-US"/>
        </w:rPr>
        <w:t xml:space="preserve">c) </w:t>
      </w:r>
      <w:proofErr w:type="gramStart"/>
      <w:r w:rsidRPr="00E0474C">
        <w:rPr>
          <w:rFonts w:cstheme="minorHAnsi"/>
          <w:lang w:val="en-US"/>
        </w:rPr>
        <w:t>the</w:t>
      </w:r>
      <w:proofErr w:type="gramEnd"/>
      <w:r w:rsidRPr="00E0474C">
        <w:rPr>
          <w:rFonts w:cstheme="minorHAnsi"/>
          <w:lang w:val="en-US"/>
        </w:rPr>
        <w:t xml:space="preserve"> resources selected by the resource selection process ;</w:t>
      </w:r>
    </w:p>
    <w:p w14:paraId="736A8EEB" w14:textId="77777777" w:rsidR="00E0474C" w:rsidRPr="00E0474C" w:rsidRDefault="00E0474C" w:rsidP="00E0474C">
      <w:pPr>
        <w:spacing w:after="120" w:line="260" w:lineRule="exact"/>
        <w:jc w:val="both"/>
        <w:outlineLvl w:val="1"/>
        <w:rPr>
          <w:rFonts w:cstheme="minorHAnsi"/>
          <w:lang w:val="en-US"/>
        </w:rPr>
      </w:pPr>
      <w:r w:rsidRPr="00E0474C">
        <w:rPr>
          <w:rFonts w:cstheme="minorHAnsi"/>
          <w:lang w:val="en-US"/>
        </w:rPr>
        <w:t xml:space="preserve">d) </w:t>
      </w:r>
      <w:proofErr w:type="gramStart"/>
      <w:r w:rsidRPr="00E0474C">
        <w:rPr>
          <w:rFonts w:cstheme="minorHAnsi"/>
          <w:lang w:val="en-US"/>
        </w:rPr>
        <w:t>the</w:t>
      </w:r>
      <w:proofErr w:type="gramEnd"/>
      <w:r w:rsidRPr="00E0474C">
        <w:rPr>
          <w:rFonts w:cstheme="minorHAnsi"/>
          <w:lang w:val="en-US"/>
        </w:rPr>
        <w:t xml:space="preserve"> cost of the selected resources given as an input to the resource selection process;</w:t>
      </w:r>
    </w:p>
    <w:p w14:paraId="59F9C8DA" w14:textId="77777777" w:rsidR="00E0474C" w:rsidRPr="00E0474C" w:rsidRDefault="00E0474C" w:rsidP="00E0474C">
      <w:pPr>
        <w:spacing w:after="120" w:line="260" w:lineRule="exact"/>
        <w:jc w:val="both"/>
        <w:outlineLvl w:val="1"/>
        <w:rPr>
          <w:rFonts w:cstheme="minorHAnsi"/>
          <w:lang w:val="en-US"/>
        </w:rPr>
      </w:pPr>
      <w:r w:rsidRPr="00E0474C">
        <w:rPr>
          <w:rFonts w:cstheme="minorHAnsi"/>
          <w:lang w:val="en-US"/>
        </w:rPr>
        <w:t xml:space="preserve">e) </w:t>
      </w:r>
      <w:proofErr w:type="gramStart"/>
      <w:r w:rsidRPr="00E0474C">
        <w:rPr>
          <w:rFonts w:cstheme="minorHAnsi"/>
          <w:lang w:val="en-US"/>
        </w:rPr>
        <w:t>the</w:t>
      </w:r>
      <w:proofErr w:type="gramEnd"/>
      <w:r w:rsidRPr="00E0474C">
        <w:rPr>
          <w:rFonts w:cstheme="minorHAnsi"/>
          <w:lang w:val="en-US"/>
        </w:rPr>
        <w:t xml:space="preserve"> final cost of the selected resources used for settlement;</w:t>
      </w:r>
    </w:p>
    <w:p w14:paraId="5E9B3A38" w14:textId="77777777" w:rsidR="00E0474C" w:rsidRPr="00E0474C" w:rsidRDefault="00E0474C" w:rsidP="00E0474C">
      <w:pPr>
        <w:spacing w:after="120" w:line="260" w:lineRule="exact"/>
        <w:jc w:val="both"/>
        <w:outlineLvl w:val="1"/>
        <w:rPr>
          <w:rFonts w:cstheme="minorHAnsi"/>
          <w:lang w:val="en-US"/>
        </w:rPr>
      </w:pPr>
      <w:r w:rsidRPr="00E0474C">
        <w:rPr>
          <w:rFonts w:cstheme="minorHAnsi"/>
          <w:lang w:val="en-US"/>
        </w:rPr>
        <w:t xml:space="preserve">f) </w:t>
      </w:r>
      <w:proofErr w:type="gramStart"/>
      <w:r w:rsidRPr="00E0474C">
        <w:rPr>
          <w:rFonts w:cstheme="minorHAnsi"/>
          <w:lang w:val="en-US"/>
        </w:rPr>
        <w:t>the</w:t>
      </w:r>
      <w:proofErr w:type="gramEnd"/>
      <w:r w:rsidRPr="00E0474C">
        <w:rPr>
          <w:rFonts w:cstheme="minorHAnsi"/>
          <w:lang w:val="en-US"/>
        </w:rPr>
        <w:t xml:space="preserve"> grid model containing the implementation of the remedial action, i.e. the grid model that shows the effectiveness of the remedial action;</w:t>
      </w:r>
    </w:p>
    <w:p w14:paraId="4DEE4681" w14:textId="1F3E1292" w:rsidR="00E0474C" w:rsidRDefault="00E0474C" w:rsidP="00E0474C">
      <w:pPr>
        <w:spacing w:after="120" w:line="260" w:lineRule="exact"/>
        <w:jc w:val="both"/>
        <w:outlineLvl w:val="1"/>
        <w:rPr>
          <w:rFonts w:cstheme="minorHAnsi"/>
          <w:lang w:val="en-US"/>
        </w:rPr>
      </w:pPr>
      <w:r w:rsidRPr="00E0474C">
        <w:rPr>
          <w:rFonts w:cstheme="minorHAnsi"/>
          <w:lang w:val="en-US"/>
        </w:rPr>
        <w:t>Upon request, TSOs shall provide copies of the credit or debit notes between generators and TSOs. In case of confidentiality issues, the responsible TSO undertakes its best effort to provide the information in an alternative manner.</w:t>
      </w:r>
    </w:p>
    <w:p w14:paraId="68AB1228" w14:textId="77777777" w:rsidR="0079539D" w:rsidRPr="00A53691" w:rsidRDefault="0079539D" w:rsidP="00A53691">
      <w:pPr>
        <w:spacing w:after="120" w:line="260" w:lineRule="exact"/>
        <w:outlineLvl w:val="1"/>
        <w:rPr>
          <w:rFonts w:cstheme="minorHAnsi"/>
          <w:color w:val="23236E" w:themeColor="text2"/>
          <w:sz w:val="24"/>
          <w:szCs w:val="24"/>
          <w:lang w:val="en-US"/>
        </w:rPr>
      </w:pPr>
    </w:p>
    <w:p w14:paraId="3C8E3AD0" w14:textId="77777777" w:rsidR="00426EB8" w:rsidRDefault="00495CAF" w:rsidP="00495CAF">
      <w:pPr>
        <w:spacing w:after="120" w:line="260" w:lineRule="exact"/>
        <w:jc w:val="center"/>
        <w:outlineLvl w:val="1"/>
        <w:rPr>
          <w:rFonts w:cstheme="minorHAnsi"/>
          <w:b/>
          <w:color w:val="23236E" w:themeColor="text2"/>
          <w:sz w:val="24"/>
          <w:szCs w:val="24"/>
          <w:lang w:val="en-US"/>
        </w:rPr>
      </w:pPr>
      <w:r w:rsidRPr="00D16C65">
        <w:rPr>
          <w:rFonts w:cstheme="minorHAnsi"/>
          <w:b/>
          <w:color w:val="23236E" w:themeColor="text2"/>
          <w:sz w:val="24"/>
          <w:szCs w:val="24"/>
          <w:lang w:val="en-US"/>
        </w:rPr>
        <w:t xml:space="preserve">Article </w:t>
      </w:r>
      <w:r w:rsidR="00755110">
        <w:rPr>
          <w:rFonts w:cstheme="minorHAnsi"/>
          <w:b/>
          <w:color w:val="23236E" w:themeColor="text2"/>
          <w:sz w:val="24"/>
          <w:szCs w:val="24"/>
          <w:lang w:val="en-US"/>
        </w:rPr>
        <w:t>1</w:t>
      </w:r>
      <w:r w:rsidR="00E03C51">
        <w:rPr>
          <w:rFonts w:cstheme="minorHAnsi"/>
          <w:b/>
          <w:color w:val="23236E" w:themeColor="text2"/>
          <w:sz w:val="24"/>
          <w:szCs w:val="24"/>
          <w:lang w:val="en-US"/>
        </w:rPr>
        <w:t>2</w:t>
      </w:r>
    </w:p>
    <w:p w14:paraId="22B63D87" w14:textId="3773220B" w:rsidR="00495CAF" w:rsidRDefault="00495CAF" w:rsidP="00495CAF">
      <w:pPr>
        <w:spacing w:after="120" w:line="260" w:lineRule="exact"/>
        <w:jc w:val="center"/>
        <w:outlineLvl w:val="1"/>
        <w:rPr>
          <w:rFonts w:cstheme="minorHAnsi"/>
          <w:b/>
          <w:color w:val="23236E" w:themeColor="text2"/>
          <w:sz w:val="24"/>
          <w:szCs w:val="24"/>
          <w:lang w:val="en-US"/>
        </w:rPr>
      </w:pPr>
      <w:r w:rsidRPr="00D16C65">
        <w:rPr>
          <w:rFonts w:cstheme="minorHAnsi"/>
          <w:b/>
          <w:color w:val="23236E" w:themeColor="text2"/>
          <w:sz w:val="24"/>
          <w:szCs w:val="24"/>
          <w:lang w:val="en-US"/>
        </w:rPr>
        <w:br/>
      </w:r>
      <w:r w:rsidR="00487C99">
        <w:rPr>
          <w:rFonts w:cstheme="minorHAnsi"/>
          <w:b/>
          <w:color w:val="23236E" w:themeColor="text2"/>
          <w:sz w:val="24"/>
          <w:szCs w:val="24"/>
          <w:lang w:val="en-US"/>
        </w:rPr>
        <w:t xml:space="preserve">Regular </w:t>
      </w:r>
      <w:r>
        <w:rPr>
          <w:rFonts w:cstheme="minorHAnsi"/>
          <w:b/>
          <w:color w:val="23236E" w:themeColor="text2"/>
          <w:sz w:val="24"/>
          <w:szCs w:val="24"/>
          <w:lang w:val="en-US"/>
        </w:rPr>
        <w:t>Reporting</w:t>
      </w:r>
      <w:r w:rsidR="00487C99">
        <w:rPr>
          <w:rFonts w:cstheme="minorHAnsi"/>
          <w:b/>
          <w:color w:val="23236E" w:themeColor="text2"/>
          <w:sz w:val="24"/>
          <w:szCs w:val="24"/>
          <w:lang w:val="en-US"/>
        </w:rPr>
        <w:t xml:space="preserve"> to</w:t>
      </w:r>
      <w:r>
        <w:rPr>
          <w:rFonts w:cstheme="minorHAnsi"/>
          <w:b/>
          <w:color w:val="23236E" w:themeColor="text2"/>
          <w:sz w:val="24"/>
          <w:szCs w:val="24"/>
          <w:lang w:val="en-US"/>
        </w:rPr>
        <w:t xml:space="preserve"> NRAs</w:t>
      </w:r>
    </w:p>
    <w:p w14:paraId="37A14D21" w14:textId="77777777" w:rsidR="00DB70C2" w:rsidRPr="001447CE" w:rsidRDefault="00DB70C2" w:rsidP="007D07DD">
      <w:pPr>
        <w:spacing w:after="120" w:line="260" w:lineRule="exact"/>
        <w:jc w:val="both"/>
        <w:outlineLvl w:val="1"/>
        <w:rPr>
          <w:rFonts w:ascii="Times New Roman" w:hAnsi="Times New Roman" w:cs="Times New Roman"/>
          <w:color w:val="000000" w:themeColor="text1"/>
        </w:rPr>
      </w:pPr>
    </w:p>
    <w:p w14:paraId="5FC6A1D4" w14:textId="24588613" w:rsidR="00FB24AE" w:rsidRPr="007D07DD" w:rsidRDefault="00FB24AE" w:rsidP="007D07DD">
      <w:pPr>
        <w:spacing w:after="120" w:line="260" w:lineRule="exact"/>
        <w:jc w:val="both"/>
        <w:outlineLvl w:val="1"/>
        <w:rPr>
          <w:rFonts w:cstheme="minorHAnsi"/>
          <w:color w:val="000000" w:themeColor="text1"/>
          <w:lang w:val="en-US"/>
        </w:rPr>
      </w:pPr>
      <w:r w:rsidRPr="007D07DD">
        <w:rPr>
          <w:rFonts w:cstheme="minorHAnsi"/>
          <w:color w:val="000000" w:themeColor="text1"/>
          <w:lang w:val="en-US"/>
        </w:rPr>
        <w:t xml:space="preserve">TSOs will report on a </w:t>
      </w:r>
      <w:proofErr w:type="spellStart"/>
      <w:r w:rsidRPr="007D07DD">
        <w:rPr>
          <w:rFonts w:cstheme="minorHAnsi"/>
          <w:color w:val="000000" w:themeColor="text1"/>
          <w:lang w:val="en-US"/>
        </w:rPr>
        <w:t>regulary</w:t>
      </w:r>
      <w:proofErr w:type="spellEnd"/>
      <w:r w:rsidRPr="007D07DD">
        <w:rPr>
          <w:rFonts w:cstheme="minorHAnsi"/>
          <w:color w:val="000000" w:themeColor="text1"/>
          <w:lang w:val="en-US"/>
        </w:rPr>
        <w:t xml:space="preserve"> basis to NRAs the relevant information according the requirements of the article 74 of the CACM guideline and according the </w:t>
      </w:r>
      <w:proofErr w:type="spellStart"/>
      <w:r w:rsidRPr="007D07DD">
        <w:rPr>
          <w:rFonts w:cstheme="minorHAnsi"/>
          <w:color w:val="000000" w:themeColor="text1"/>
          <w:lang w:val="en-US"/>
        </w:rPr>
        <w:t>applicables</w:t>
      </w:r>
      <w:proofErr w:type="spellEnd"/>
      <w:r w:rsidRPr="007D07DD">
        <w:rPr>
          <w:rFonts w:cstheme="minorHAnsi"/>
          <w:color w:val="000000" w:themeColor="text1"/>
          <w:lang w:val="en-US"/>
        </w:rPr>
        <w:t xml:space="preserve"> provisions of the transparency guidelines. </w:t>
      </w:r>
    </w:p>
    <w:p w14:paraId="623B3E52" w14:textId="1E8FA5AD" w:rsidR="00FB24AE" w:rsidRPr="007D07DD" w:rsidRDefault="00FB24AE" w:rsidP="007D07DD">
      <w:pPr>
        <w:spacing w:after="120" w:line="260" w:lineRule="exact"/>
        <w:jc w:val="both"/>
        <w:outlineLvl w:val="1"/>
        <w:rPr>
          <w:rFonts w:cstheme="minorHAnsi"/>
          <w:color w:val="000000" w:themeColor="text1"/>
          <w:lang w:val="en-US"/>
        </w:rPr>
      </w:pPr>
      <w:r w:rsidRPr="007D07DD">
        <w:rPr>
          <w:rFonts w:cstheme="minorHAnsi"/>
          <w:color w:val="000000" w:themeColor="text1"/>
          <w:lang w:val="en-US"/>
        </w:rPr>
        <w:t>Following information on costs will be reported to NRAs on a yearly basis:</w:t>
      </w:r>
    </w:p>
    <w:p w14:paraId="15D2B6BE" w14:textId="77777777" w:rsidR="00FB24AE" w:rsidRPr="007D07DD" w:rsidRDefault="00FB24AE" w:rsidP="001E7EA6">
      <w:pPr>
        <w:pStyle w:val="ListParagraph"/>
        <w:numPr>
          <w:ilvl w:val="0"/>
          <w:numId w:val="40"/>
        </w:numPr>
        <w:spacing w:after="120" w:line="260" w:lineRule="exact"/>
        <w:outlineLvl w:val="1"/>
        <w:rPr>
          <w:rFonts w:asciiTheme="minorHAnsi" w:hAnsiTheme="minorHAnsi" w:cstheme="minorHAnsi"/>
          <w:color w:val="000000" w:themeColor="text1"/>
          <w:lang w:val="en-US"/>
        </w:rPr>
      </w:pPr>
      <w:r w:rsidRPr="007D07DD">
        <w:rPr>
          <w:rFonts w:asciiTheme="minorHAnsi" w:hAnsiTheme="minorHAnsi" w:cstheme="minorHAnsi"/>
          <w:color w:val="000000" w:themeColor="text1"/>
          <w:lang w:val="en-US"/>
        </w:rPr>
        <w:t xml:space="preserve">Total </w:t>
      </w:r>
      <w:proofErr w:type="spellStart"/>
      <w:r w:rsidRPr="007D07DD">
        <w:rPr>
          <w:rFonts w:asciiTheme="minorHAnsi" w:hAnsiTheme="minorHAnsi" w:cstheme="minorHAnsi"/>
          <w:color w:val="000000" w:themeColor="text1"/>
          <w:lang w:val="en-US"/>
        </w:rPr>
        <w:t>redispatching</w:t>
      </w:r>
      <w:proofErr w:type="spellEnd"/>
      <w:r w:rsidRPr="007D07DD">
        <w:rPr>
          <w:rFonts w:asciiTheme="minorHAnsi" w:hAnsiTheme="minorHAnsi" w:cstheme="minorHAnsi"/>
          <w:color w:val="000000" w:themeColor="text1"/>
          <w:lang w:val="en-US"/>
        </w:rPr>
        <w:t xml:space="preserve"> and countertrading costs eligible for cost sharing per TSO/Country</w:t>
      </w:r>
    </w:p>
    <w:p w14:paraId="4FB96087" w14:textId="0F436193" w:rsidR="00FB24AE" w:rsidRPr="007D07DD" w:rsidRDefault="00FB24AE" w:rsidP="00E0474C">
      <w:pPr>
        <w:pStyle w:val="ListParagraph"/>
        <w:numPr>
          <w:ilvl w:val="0"/>
          <w:numId w:val="40"/>
        </w:numPr>
        <w:spacing w:after="120" w:line="260" w:lineRule="exact"/>
        <w:outlineLvl w:val="1"/>
        <w:rPr>
          <w:rFonts w:asciiTheme="minorHAnsi" w:hAnsiTheme="minorHAnsi" w:cstheme="minorHAnsi"/>
          <w:color w:val="000000" w:themeColor="text1"/>
          <w:lang w:val="en-US"/>
        </w:rPr>
      </w:pPr>
      <w:proofErr w:type="spellStart"/>
      <w:r w:rsidRPr="007D07DD">
        <w:rPr>
          <w:rFonts w:asciiTheme="minorHAnsi" w:hAnsiTheme="minorHAnsi" w:cstheme="minorHAnsi"/>
          <w:color w:val="000000" w:themeColor="text1"/>
          <w:lang w:val="en-US"/>
        </w:rPr>
        <w:lastRenderedPageBreak/>
        <w:t>Redispatch</w:t>
      </w:r>
      <w:proofErr w:type="spellEnd"/>
      <w:r w:rsidRPr="007D07DD">
        <w:rPr>
          <w:rFonts w:asciiTheme="minorHAnsi" w:hAnsiTheme="minorHAnsi" w:cstheme="minorHAnsi"/>
          <w:color w:val="000000" w:themeColor="text1"/>
          <w:lang w:val="en-US"/>
        </w:rPr>
        <w:t xml:space="preserve"> and countertrading costs according flow type Import/Export; Loop flows</w:t>
      </w:r>
      <w:r w:rsidR="00E0474C" w:rsidRPr="007D07DD">
        <w:rPr>
          <w:rFonts w:asciiTheme="minorHAnsi" w:hAnsiTheme="minorHAnsi" w:cstheme="minorHAnsi"/>
          <w:color w:val="000000" w:themeColor="text1"/>
          <w:lang w:val="en-US"/>
        </w:rPr>
        <w:t xml:space="preserve">; Internal flows </w:t>
      </w:r>
      <w:r w:rsidRPr="007D07DD">
        <w:rPr>
          <w:rFonts w:asciiTheme="minorHAnsi" w:hAnsiTheme="minorHAnsi" w:cstheme="minorHAnsi"/>
          <w:color w:val="000000" w:themeColor="text1"/>
          <w:lang w:val="en-US"/>
        </w:rPr>
        <w:t xml:space="preserve"> and Transit</w:t>
      </w:r>
      <w:r w:rsidR="00E0474C" w:rsidRPr="007D07DD">
        <w:rPr>
          <w:rFonts w:asciiTheme="minorHAnsi" w:hAnsiTheme="minorHAnsi" w:cstheme="minorHAnsi"/>
          <w:color w:val="000000" w:themeColor="text1"/>
          <w:lang w:val="en-US"/>
        </w:rPr>
        <w:t xml:space="preserve"> </w:t>
      </w:r>
      <w:r w:rsidRPr="007D07DD">
        <w:rPr>
          <w:rFonts w:asciiTheme="minorHAnsi" w:hAnsiTheme="minorHAnsi" w:cstheme="minorHAnsi"/>
          <w:color w:val="000000" w:themeColor="text1"/>
          <w:lang w:val="en-US"/>
        </w:rPr>
        <w:t>flows per TSO/Country</w:t>
      </w:r>
    </w:p>
    <w:p w14:paraId="15B8FC27" w14:textId="525FB276" w:rsidR="00FB24AE" w:rsidRPr="007D07DD" w:rsidRDefault="007D07DD" w:rsidP="007D07DD">
      <w:pPr>
        <w:pStyle w:val="ListParagraph"/>
        <w:numPr>
          <w:ilvl w:val="0"/>
          <w:numId w:val="40"/>
        </w:numPr>
        <w:spacing w:after="120" w:line="260" w:lineRule="exact"/>
        <w:outlineLvl w:val="1"/>
        <w:rPr>
          <w:rFonts w:asciiTheme="minorHAnsi" w:hAnsiTheme="minorHAnsi" w:cstheme="minorHAnsi"/>
          <w:color w:val="000000" w:themeColor="text1"/>
          <w:lang w:val="en-US"/>
        </w:rPr>
      </w:pPr>
      <w:r w:rsidRPr="007D07DD">
        <w:rPr>
          <w:rFonts w:asciiTheme="minorHAnsi" w:hAnsiTheme="minorHAnsi" w:cstheme="minorHAnsi"/>
        </w:rPr>
        <w:t>list all activations of remedial actions including the security violation, the activated resources and the associated costs;</w:t>
      </w:r>
    </w:p>
    <w:p w14:paraId="27031083" w14:textId="77777777" w:rsidR="00E0474C" w:rsidRPr="00903CD6" w:rsidRDefault="00E0474C" w:rsidP="00903CD6">
      <w:pPr>
        <w:pStyle w:val="Default"/>
        <w:rPr>
          <w:sz w:val="22"/>
          <w:szCs w:val="22"/>
        </w:rPr>
      </w:pPr>
    </w:p>
    <w:p w14:paraId="1BCBD6F6" w14:textId="77777777" w:rsidR="00FB24AE" w:rsidRDefault="00FB24AE" w:rsidP="00495CAF">
      <w:pPr>
        <w:spacing w:after="120" w:line="260" w:lineRule="exact"/>
        <w:jc w:val="center"/>
        <w:outlineLvl w:val="1"/>
        <w:rPr>
          <w:rFonts w:cstheme="minorHAnsi"/>
          <w:b/>
          <w:color w:val="23236E" w:themeColor="text2"/>
          <w:sz w:val="24"/>
          <w:szCs w:val="24"/>
          <w:lang w:val="en-US"/>
        </w:rPr>
      </w:pPr>
    </w:p>
    <w:p w14:paraId="2E6BB193" w14:textId="77777777" w:rsidR="00903CD6" w:rsidRDefault="00495CAF" w:rsidP="00495CAF">
      <w:pPr>
        <w:spacing w:after="120" w:line="260" w:lineRule="exact"/>
        <w:jc w:val="center"/>
        <w:outlineLvl w:val="1"/>
        <w:rPr>
          <w:rFonts w:cstheme="minorHAnsi"/>
          <w:b/>
          <w:color w:val="23236E" w:themeColor="text2"/>
          <w:sz w:val="24"/>
          <w:szCs w:val="24"/>
          <w:lang w:val="en-US"/>
        </w:rPr>
      </w:pPr>
      <w:r w:rsidRPr="00D16C65">
        <w:rPr>
          <w:rFonts w:cstheme="minorHAnsi"/>
          <w:b/>
          <w:color w:val="23236E" w:themeColor="text2"/>
          <w:sz w:val="24"/>
          <w:szCs w:val="24"/>
          <w:lang w:val="en-US"/>
        </w:rPr>
        <w:t xml:space="preserve">Article </w:t>
      </w:r>
      <w:r w:rsidR="00755110">
        <w:rPr>
          <w:rFonts w:cstheme="minorHAnsi"/>
          <w:b/>
          <w:color w:val="23236E" w:themeColor="text2"/>
          <w:sz w:val="24"/>
          <w:szCs w:val="24"/>
          <w:lang w:val="en-US"/>
        </w:rPr>
        <w:t>1</w:t>
      </w:r>
      <w:r w:rsidR="00E03C51">
        <w:rPr>
          <w:rFonts w:cstheme="minorHAnsi"/>
          <w:b/>
          <w:color w:val="23236E" w:themeColor="text2"/>
          <w:sz w:val="24"/>
          <w:szCs w:val="24"/>
          <w:lang w:val="en-US"/>
        </w:rPr>
        <w:t>3</w:t>
      </w:r>
    </w:p>
    <w:p w14:paraId="79A68548" w14:textId="748813F0" w:rsidR="00495CAF" w:rsidRDefault="00495CAF" w:rsidP="00495CAF">
      <w:pPr>
        <w:spacing w:after="120" w:line="260" w:lineRule="exact"/>
        <w:jc w:val="center"/>
        <w:outlineLvl w:val="1"/>
        <w:rPr>
          <w:rFonts w:cstheme="minorHAnsi"/>
          <w:b/>
          <w:color w:val="23236E" w:themeColor="text2"/>
          <w:sz w:val="24"/>
          <w:szCs w:val="24"/>
          <w:lang w:val="en-US"/>
        </w:rPr>
      </w:pPr>
      <w:r>
        <w:rPr>
          <w:rFonts w:cstheme="minorHAnsi"/>
          <w:b/>
          <w:color w:val="23236E" w:themeColor="text2"/>
          <w:sz w:val="24"/>
          <w:szCs w:val="24"/>
          <w:lang w:val="en-US"/>
        </w:rPr>
        <w:br/>
        <w:t xml:space="preserve">Yearly review for improvement </w:t>
      </w:r>
    </w:p>
    <w:p w14:paraId="3C980103" w14:textId="77777777" w:rsidR="00903CD6" w:rsidRDefault="00903CD6" w:rsidP="00495CAF">
      <w:pPr>
        <w:spacing w:after="120" w:line="260" w:lineRule="exact"/>
        <w:jc w:val="center"/>
        <w:outlineLvl w:val="1"/>
        <w:rPr>
          <w:rFonts w:cstheme="minorHAnsi"/>
          <w:b/>
          <w:color w:val="23236E" w:themeColor="text2"/>
          <w:sz w:val="24"/>
          <w:szCs w:val="24"/>
          <w:lang w:val="en-US"/>
        </w:rPr>
      </w:pPr>
    </w:p>
    <w:p w14:paraId="00558539" w14:textId="1FF70892" w:rsidR="008B6648" w:rsidRPr="0069706C" w:rsidRDefault="008B6648" w:rsidP="007D07DD">
      <w:pPr>
        <w:spacing w:line="276" w:lineRule="auto"/>
        <w:contextualSpacing/>
        <w:jc w:val="both"/>
      </w:pPr>
      <w:r w:rsidRPr="001447CE">
        <w:rPr>
          <w:rFonts w:cstheme="minorHAnsi"/>
          <w:lang w:val="en-US"/>
        </w:rPr>
        <w:t xml:space="preserve">As required per article 74.5.d of the CACM GL, </w:t>
      </w:r>
      <w:r w:rsidRPr="0069706C">
        <w:t xml:space="preserve">a process allowing improvement of the remedial actions has to be </w:t>
      </w:r>
      <w:proofErr w:type="spellStart"/>
      <w:r w:rsidRPr="0069706C">
        <w:t>developped</w:t>
      </w:r>
      <w:proofErr w:type="spellEnd"/>
      <w:r w:rsidRPr="0069706C">
        <w:t xml:space="preserve">; </w:t>
      </w:r>
    </w:p>
    <w:p w14:paraId="6DCA3C5C" w14:textId="3F4E3158" w:rsidR="00495CAF" w:rsidRPr="0069706C" w:rsidRDefault="006B7555" w:rsidP="007D07DD">
      <w:pPr>
        <w:spacing w:after="120" w:line="259" w:lineRule="auto"/>
        <w:contextualSpacing/>
        <w:jc w:val="both"/>
        <w:rPr>
          <w:rFonts w:cstheme="minorHAnsi"/>
          <w:lang w:val="en-US"/>
        </w:rPr>
      </w:pPr>
      <w:r w:rsidRPr="0069706C">
        <w:rPr>
          <w:rFonts w:cstheme="minorHAnsi"/>
          <w:lang w:val="en-US"/>
        </w:rPr>
        <w:t xml:space="preserve">Based on the monitoring, TSOs will review the </w:t>
      </w:r>
      <w:r w:rsidR="00EF3482" w:rsidRPr="0069706C">
        <w:rPr>
          <w:rFonts w:cstheme="minorHAnsi"/>
          <w:lang w:val="en-US"/>
        </w:rPr>
        <w:t>cost sharing process in order to identify potential improvements.</w:t>
      </w:r>
    </w:p>
    <w:p w14:paraId="35C7DD8D" w14:textId="77777777" w:rsidR="00EF3482" w:rsidRDefault="00EF3482" w:rsidP="007D07DD">
      <w:pPr>
        <w:spacing w:after="120" w:line="259" w:lineRule="auto"/>
        <w:contextualSpacing/>
        <w:jc w:val="both"/>
        <w:rPr>
          <w:rFonts w:cstheme="minorHAnsi"/>
          <w:lang w:val="en-US"/>
        </w:rPr>
      </w:pPr>
    </w:p>
    <w:p w14:paraId="710A6150" w14:textId="77777777" w:rsidR="007D07DD" w:rsidRDefault="007D07DD" w:rsidP="007D07DD">
      <w:pPr>
        <w:spacing w:after="120" w:line="259" w:lineRule="auto"/>
        <w:contextualSpacing/>
        <w:jc w:val="both"/>
        <w:rPr>
          <w:rFonts w:cstheme="minorHAnsi"/>
          <w:lang w:val="en-US"/>
        </w:rPr>
      </w:pPr>
      <w:r w:rsidRPr="007D07DD">
        <w:rPr>
          <w:rFonts w:cstheme="minorHAnsi"/>
          <w:lang w:val="en-US"/>
        </w:rPr>
        <w:t>The review shall consist of:</w:t>
      </w:r>
    </w:p>
    <w:p w14:paraId="7F670A30" w14:textId="77777777" w:rsidR="007D07DD" w:rsidRPr="007D07DD" w:rsidRDefault="007D07DD" w:rsidP="007D07DD">
      <w:pPr>
        <w:spacing w:after="120" w:line="259" w:lineRule="auto"/>
        <w:contextualSpacing/>
        <w:jc w:val="both"/>
        <w:rPr>
          <w:rFonts w:cstheme="minorHAnsi"/>
          <w:lang w:val="en-US"/>
        </w:rPr>
      </w:pPr>
    </w:p>
    <w:p w14:paraId="36442CEE" w14:textId="77777777" w:rsidR="007D07DD" w:rsidRPr="007D07DD" w:rsidRDefault="007D07DD" w:rsidP="007D07DD">
      <w:pPr>
        <w:spacing w:after="120" w:line="259" w:lineRule="auto"/>
        <w:contextualSpacing/>
        <w:jc w:val="both"/>
        <w:rPr>
          <w:rFonts w:cstheme="minorHAnsi"/>
          <w:lang w:val="en-US"/>
        </w:rPr>
      </w:pPr>
      <w:r w:rsidRPr="007D07DD">
        <w:rPr>
          <w:rFonts w:cstheme="minorHAnsi"/>
          <w:lang w:val="en-US"/>
        </w:rPr>
        <w:t xml:space="preserve">a) </w:t>
      </w:r>
      <w:proofErr w:type="gramStart"/>
      <w:r w:rsidRPr="007D07DD">
        <w:rPr>
          <w:rFonts w:cstheme="minorHAnsi"/>
          <w:lang w:val="en-US"/>
        </w:rPr>
        <w:t>an</w:t>
      </w:r>
      <w:proofErr w:type="gramEnd"/>
      <w:r w:rsidRPr="007D07DD">
        <w:rPr>
          <w:rFonts w:cstheme="minorHAnsi"/>
          <w:lang w:val="en-US"/>
        </w:rPr>
        <w:t xml:space="preserve"> assessment of the effectiveness of the activated remedial actions in terms of volume and cost;</w:t>
      </w:r>
    </w:p>
    <w:p w14:paraId="707C6B78" w14:textId="77777777" w:rsidR="007D07DD" w:rsidRDefault="007D07DD" w:rsidP="007D07DD">
      <w:pPr>
        <w:spacing w:after="120" w:line="259" w:lineRule="auto"/>
        <w:contextualSpacing/>
        <w:jc w:val="both"/>
        <w:rPr>
          <w:rFonts w:cstheme="minorHAnsi"/>
          <w:lang w:val="en-US"/>
        </w:rPr>
      </w:pPr>
      <w:r w:rsidRPr="007D07DD">
        <w:rPr>
          <w:rFonts w:cstheme="minorHAnsi"/>
          <w:lang w:val="en-US"/>
        </w:rPr>
        <w:t xml:space="preserve">b) </w:t>
      </w:r>
      <w:proofErr w:type="gramStart"/>
      <w:r w:rsidRPr="007D07DD">
        <w:rPr>
          <w:rFonts w:cstheme="minorHAnsi"/>
          <w:lang w:val="en-US"/>
        </w:rPr>
        <w:t>an</w:t>
      </w:r>
      <w:proofErr w:type="gramEnd"/>
      <w:r w:rsidRPr="007D07DD">
        <w:rPr>
          <w:rFonts w:cstheme="minorHAnsi"/>
          <w:lang w:val="en-US"/>
        </w:rPr>
        <w:t xml:space="preserve"> assessment of the proper functioning of the general process with a focus on:</w:t>
      </w:r>
    </w:p>
    <w:p w14:paraId="2EFEC508" w14:textId="77777777" w:rsidR="007D07DD" w:rsidRPr="007D07DD" w:rsidRDefault="007D07DD" w:rsidP="007D07DD">
      <w:pPr>
        <w:spacing w:after="120" w:line="259" w:lineRule="auto"/>
        <w:contextualSpacing/>
        <w:jc w:val="both"/>
        <w:rPr>
          <w:rFonts w:cstheme="minorHAnsi"/>
          <w:lang w:val="en-US"/>
        </w:rPr>
      </w:pPr>
    </w:p>
    <w:p w14:paraId="7033BF98" w14:textId="77777777" w:rsidR="007D07DD" w:rsidRPr="007D07DD" w:rsidRDefault="007D07DD" w:rsidP="007D07DD">
      <w:pPr>
        <w:spacing w:after="120" w:line="259" w:lineRule="auto"/>
        <w:contextualSpacing/>
        <w:jc w:val="both"/>
        <w:rPr>
          <w:rFonts w:cstheme="minorHAnsi"/>
          <w:lang w:val="en-US"/>
        </w:rPr>
      </w:pPr>
      <w:proofErr w:type="spellStart"/>
      <w:proofErr w:type="gramStart"/>
      <w:r w:rsidRPr="007D07DD">
        <w:rPr>
          <w:rFonts w:cstheme="minorHAnsi"/>
          <w:lang w:val="en-US"/>
        </w:rPr>
        <w:t>i</w:t>
      </w:r>
      <w:proofErr w:type="spellEnd"/>
      <w:proofErr w:type="gramEnd"/>
      <w:r w:rsidRPr="007D07DD">
        <w:rPr>
          <w:rFonts w:cstheme="minorHAnsi"/>
          <w:lang w:val="en-US"/>
        </w:rPr>
        <w:t>. deadlines regarding the delivery of data and information;</w:t>
      </w:r>
    </w:p>
    <w:p w14:paraId="0C4A24BB" w14:textId="77777777" w:rsidR="007D07DD" w:rsidRPr="007D07DD" w:rsidRDefault="007D07DD" w:rsidP="007D07DD">
      <w:pPr>
        <w:spacing w:after="120" w:line="259" w:lineRule="auto"/>
        <w:contextualSpacing/>
        <w:jc w:val="both"/>
        <w:rPr>
          <w:rFonts w:cstheme="minorHAnsi"/>
          <w:lang w:val="en-US"/>
        </w:rPr>
      </w:pPr>
      <w:r w:rsidRPr="007D07DD">
        <w:rPr>
          <w:rFonts w:cstheme="minorHAnsi"/>
          <w:lang w:val="en-US"/>
        </w:rPr>
        <w:t xml:space="preserve">ii. </w:t>
      </w:r>
      <w:proofErr w:type="gramStart"/>
      <w:r w:rsidRPr="007D07DD">
        <w:rPr>
          <w:rFonts w:cstheme="minorHAnsi"/>
          <w:lang w:val="en-US"/>
        </w:rPr>
        <w:t>deadlines</w:t>
      </w:r>
      <w:proofErr w:type="gramEnd"/>
      <w:r w:rsidRPr="007D07DD">
        <w:rPr>
          <w:rFonts w:cstheme="minorHAnsi"/>
          <w:lang w:val="en-US"/>
        </w:rPr>
        <w:t xml:space="preserve"> regarding the settlement process;</w:t>
      </w:r>
    </w:p>
    <w:p w14:paraId="136FCCD0" w14:textId="77777777" w:rsidR="007D07DD" w:rsidRDefault="007D07DD" w:rsidP="007D07DD">
      <w:pPr>
        <w:spacing w:after="120" w:line="259" w:lineRule="auto"/>
        <w:contextualSpacing/>
        <w:jc w:val="both"/>
        <w:rPr>
          <w:rFonts w:cstheme="minorHAnsi"/>
          <w:lang w:val="en-US"/>
        </w:rPr>
      </w:pPr>
      <w:r w:rsidRPr="007D07DD">
        <w:rPr>
          <w:rFonts w:cstheme="minorHAnsi"/>
          <w:lang w:val="en-US"/>
        </w:rPr>
        <w:t xml:space="preserve">iii. </w:t>
      </w:r>
      <w:proofErr w:type="gramStart"/>
      <w:r w:rsidRPr="007D07DD">
        <w:rPr>
          <w:rFonts w:cstheme="minorHAnsi"/>
          <w:lang w:val="en-US"/>
        </w:rPr>
        <w:t>quality</w:t>
      </w:r>
      <w:proofErr w:type="gramEnd"/>
      <w:r w:rsidRPr="007D07DD">
        <w:rPr>
          <w:rFonts w:cstheme="minorHAnsi"/>
          <w:lang w:val="en-US"/>
        </w:rPr>
        <w:t xml:space="preserve"> of cost estimations;</w:t>
      </w:r>
    </w:p>
    <w:p w14:paraId="7ED98577" w14:textId="77777777" w:rsidR="007D07DD" w:rsidRPr="007D07DD" w:rsidRDefault="007D07DD" w:rsidP="007D07DD">
      <w:pPr>
        <w:spacing w:after="120" w:line="259" w:lineRule="auto"/>
        <w:contextualSpacing/>
        <w:jc w:val="both"/>
        <w:rPr>
          <w:rFonts w:cstheme="minorHAnsi"/>
          <w:lang w:val="en-US"/>
        </w:rPr>
      </w:pPr>
    </w:p>
    <w:p w14:paraId="39E46D84" w14:textId="713BD7A8" w:rsidR="00730146" w:rsidRDefault="007D07DD" w:rsidP="007D07DD">
      <w:pPr>
        <w:spacing w:after="120" w:line="259" w:lineRule="auto"/>
        <w:contextualSpacing/>
        <w:jc w:val="both"/>
        <w:rPr>
          <w:rFonts w:cstheme="minorHAnsi"/>
          <w:lang w:val="en-US"/>
        </w:rPr>
      </w:pPr>
      <w:r w:rsidRPr="007D07DD">
        <w:rPr>
          <w:rFonts w:cstheme="minorHAnsi"/>
          <w:lang w:val="en-US"/>
        </w:rPr>
        <w:t xml:space="preserve">c) </w:t>
      </w:r>
      <w:proofErr w:type="gramStart"/>
      <w:r w:rsidRPr="007D07DD">
        <w:rPr>
          <w:rFonts w:cstheme="minorHAnsi"/>
          <w:lang w:val="en-US"/>
        </w:rPr>
        <w:t>an</w:t>
      </w:r>
      <w:proofErr w:type="gramEnd"/>
      <w:r w:rsidRPr="007D07DD">
        <w:rPr>
          <w:rFonts w:cstheme="minorHAnsi"/>
          <w:lang w:val="en-US"/>
        </w:rPr>
        <w:t xml:space="preserve"> assessment of the cost-sharing methodology against the criteria mentioned in Art. 74 (6) of CACM Regulation</w:t>
      </w:r>
    </w:p>
    <w:p w14:paraId="6608A644" w14:textId="77777777" w:rsidR="0076042F" w:rsidRDefault="0076042F" w:rsidP="007D07DD">
      <w:pPr>
        <w:spacing w:after="120" w:line="259" w:lineRule="auto"/>
        <w:contextualSpacing/>
        <w:jc w:val="both"/>
        <w:rPr>
          <w:rFonts w:cstheme="minorHAnsi"/>
          <w:lang w:val="en-US"/>
        </w:rPr>
      </w:pPr>
    </w:p>
    <w:p w14:paraId="74DF5AB6" w14:textId="77777777" w:rsidR="0076042F" w:rsidRPr="00495CAF" w:rsidRDefault="0076042F" w:rsidP="007D07DD">
      <w:pPr>
        <w:spacing w:after="120" w:line="259" w:lineRule="auto"/>
        <w:contextualSpacing/>
        <w:jc w:val="both"/>
        <w:rPr>
          <w:rFonts w:cstheme="minorHAnsi"/>
          <w:lang w:val="en-US"/>
        </w:rPr>
      </w:pPr>
    </w:p>
    <w:p w14:paraId="2371DF97" w14:textId="77777777" w:rsidR="00903CD6" w:rsidRDefault="00FF135A" w:rsidP="00FF135A">
      <w:pPr>
        <w:spacing w:after="120" w:line="260" w:lineRule="exact"/>
        <w:jc w:val="center"/>
        <w:outlineLvl w:val="1"/>
        <w:rPr>
          <w:rFonts w:cstheme="minorHAnsi"/>
          <w:b/>
          <w:color w:val="23236E" w:themeColor="text2"/>
          <w:sz w:val="24"/>
          <w:szCs w:val="24"/>
          <w:lang w:val="en-US"/>
        </w:rPr>
      </w:pPr>
      <w:r w:rsidRPr="00D16C65">
        <w:rPr>
          <w:rFonts w:cstheme="minorHAnsi"/>
          <w:b/>
          <w:color w:val="23236E" w:themeColor="text2"/>
          <w:sz w:val="24"/>
          <w:szCs w:val="24"/>
          <w:lang w:val="en-US"/>
        </w:rPr>
        <w:t xml:space="preserve">Article </w:t>
      </w:r>
      <w:r w:rsidR="00755110">
        <w:rPr>
          <w:rFonts w:cstheme="minorHAnsi"/>
          <w:b/>
          <w:color w:val="23236E" w:themeColor="text2"/>
          <w:sz w:val="24"/>
          <w:szCs w:val="24"/>
          <w:lang w:val="en-US"/>
        </w:rPr>
        <w:t>1</w:t>
      </w:r>
      <w:r w:rsidR="00E03C51">
        <w:rPr>
          <w:rFonts w:cstheme="minorHAnsi"/>
          <w:b/>
          <w:color w:val="23236E" w:themeColor="text2"/>
          <w:sz w:val="24"/>
          <w:szCs w:val="24"/>
          <w:lang w:val="en-US"/>
        </w:rPr>
        <w:t>4</w:t>
      </w:r>
    </w:p>
    <w:p w14:paraId="00A2D1FA" w14:textId="629B7201" w:rsidR="00FF135A" w:rsidRDefault="00FF135A" w:rsidP="00FF135A">
      <w:pPr>
        <w:spacing w:after="120" w:line="260" w:lineRule="exact"/>
        <w:jc w:val="center"/>
        <w:outlineLvl w:val="1"/>
        <w:rPr>
          <w:rFonts w:cstheme="minorHAnsi"/>
          <w:b/>
          <w:color w:val="23236E" w:themeColor="text2"/>
          <w:sz w:val="24"/>
          <w:szCs w:val="24"/>
          <w:lang w:val="en-US"/>
        </w:rPr>
      </w:pPr>
      <w:r w:rsidRPr="00D16C65">
        <w:rPr>
          <w:rFonts w:cstheme="minorHAnsi"/>
          <w:b/>
          <w:color w:val="23236E" w:themeColor="text2"/>
          <w:sz w:val="24"/>
          <w:szCs w:val="24"/>
          <w:lang w:val="en-US"/>
        </w:rPr>
        <w:br/>
      </w:r>
      <w:r>
        <w:rPr>
          <w:rFonts w:cstheme="minorHAnsi"/>
          <w:b/>
          <w:color w:val="23236E" w:themeColor="text2"/>
          <w:sz w:val="24"/>
          <w:szCs w:val="24"/>
          <w:lang w:val="en-US"/>
        </w:rPr>
        <w:t>Implementation</w:t>
      </w:r>
    </w:p>
    <w:p w14:paraId="7D6AC990" w14:textId="77777777" w:rsidR="00254717" w:rsidRDefault="00254717" w:rsidP="00E079EB">
      <w:pPr>
        <w:pStyle w:val="Default"/>
        <w:ind w:left="360"/>
        <w:jc w:val="both"/>
        <w:rPr>
          <w:rFonts w:asciiTheme="minorHAnsi" w:eastAsia="Calibri" w:hAnsiTheme="minorHAnsi" w:cstheme="minorHAnsi"/>
          <w:color w:val="auto"/>
          <w:sz w:val="22"/>
          <w:szCs w:val="22"/>
          <w:lang w:val="en-GB"/>
        </w:rPr>
      </w:pPr>
    </w:p>
    <w:p w14:paraId="6C0FA10F" w14:textId="38A3D50F" w:rsidR="00254717" w:rsidRDefault="00254717" w:rsidP="00E079EB">
      <w:pPr>
        <w:pStyle w:val="Default"/>
        <w:jc w:val="both"/>
        <w:rPr>
          <w:rFonts w:asciiTheme="minorHAnsi" w:eastAsia="Calibri" w:hAnsiTheme="minorHAnsi" w:cstheme="minorHAnsi"/>
          <w:color w:val="auto"/>
          <w:sz w:val="22"/>
          <w:szCs w:val="22"/>
          <w:lang w:val="en-GB"/>
        </w:rPr>
      </w:pPr>
      <w:r>
        <w:rPr>
          <w:rFonts w:asciiTheme="minorHAnsi" w:eastAsia="Calibri" w:hAnsiTheme="minorHAnsi" w:cstheme="minorHAnsi"/>
          <w:color w:val="auto"/>
          <w:sz w:val="22"/>
          <w:szCs w:val="22"/>
          <w:lang w:val="en-GB"/>
        </w:rPr>
        <w:t>The TSOs of SEE</w:t>
      </w:r>
      <w:r w:rsidRPr="00254717">
        <w:rPr>
          <w:rFonts w:asciiTheme="minorHAnsi" w:eastAsia="Calibri" w:hAnsiTheme="minorHAnsi" w:cstheme="minorHAnsi"/>
          <w:color w:val="auto"/>
          <w:sz w:val="22"/>
          <w:szCs w:val="22"/>
          <w:lang w:val="en-GB"/>
        </w:rPr>
        <w:t xml:space="preserve"> </w:t>
      </w:r>
      <w:r w:rsidR="0065278C">
        <w:rPr>
          <w:rFonts w:asciiTheme="minorHAnsi" w:eastAsia="Calibri" w:hAnsiTheme="minorHAnsi" w:cstheme="minorHAnsi"/>
          <w:color w:val="auto"/>
          <w:sz w:val="22"/>
          <w:szCs w:val="22"/>
          <w:lang w:val="en-GB"/>
        </w:rPr>
        <w:t>CCR</w:t>
      </w:r>
      <w:r w:rsidR="0065278C" w:rsidRPr="00254717">
        <w:rPr>
          <w:rFonts w:asciiTheme="minorHAnsi" w:eastAsia="Calibri" w:hAnsiTheme="minorHAnsi" w:cstheme="minorHAnsi"/>
          <w:color w:val="auto"/>
          <w:sz w:val="22"/>
          <w:szCs w:val="22"/>
          <w:lang w:val="en-GB"/>
        </w:rPr>
        <w:t xml:space="preserve"> </w:t>
      </w:r>
      <w:r w:rsidRPr="00254717">
        <w:rPr>
          <w:rFonts w:asciiTheme="minorHAnsi" w:eastAsia="Calibri" w:hAnsiTheme="minorHAnsi" w:cstheme="minorHAnsi"/>
          <w:color w:val="auto"/>
          <w:sz w:val="22"/>
          <w:szCs w:val="22"/>
          <w:lang w:val="en-GB"/>
        </w:rPr>
        <w:t xml:space="preserve">shall publish the methodology for cost-sharing of </w:t>
      </w:r>
      <w:proofErr w:type="spellStart"/>
      <w:r w:rsidRPr="00254717">
        <w:rPr>
          <w:rFonts w:asciiTheme="minorHAnsi" w:eastAsia="Calibri" w:hAnsiTheme="minorHAnsi" w:cstheme="minorHAnsi"/>
          <w:color w:val="auto"/>
          <w:sz w:val="22"/>
          <w:szCs w:val="22"/>
          <w:lang w:val="en-GB"/>
        </w:rPr>
        <w:t>redispatching</w:t>
      </w:r>
      <w:proofErr w:type="spellEnd"/>
      <w:r w:rsidRPr="00254717">
        <w:rPr>
          <w:rFonts w:asciiTheme="minorHAnsi" w:eastAsia="Calibri" w:hAnsiTheme="minorHAnsi" w:cstheme="minorHAnsi"/>
          <w:color w:val="auto"/>
          <w:sz w:val="22"/>
          <w:szCs w:val="22"/>
          <w:lang w:val="en-GB"/>
        </w:rPr>
        <w:t xml:space="preserve"> and countertrading without undue delay after relevant national regulatory authorities have approved the proposed methodology or a decision has been taken by the Agency for the Cooperation of Energy Regulators in accordance with Article 9 (10), Articles 9 (11) and 9 (12) of the CACM Regulation.</w:t>
      </w:r>
    </w:p>
    <w:p w14:paraId="73383A90" w14:textId="77777777" w:rsidR="00E079EB" w:rsidRPr="00254717" w:rsidRDefault="00E079EB" w:rsidP="00254717">
      <w:pPr>
        <w:pStyle w:val="Default"/>
        <w:ind w:left="360"/>
        <w:jc w:val="both"/>
        <w:rPr>
          <w:rFonts w:asciiTheme="minorHAnsi" w:eastAsia="Calibri" w:hAnsiTheme="minorHAnsi" w:cstheme="minorHAnsi"/>
          <w:color w:val="auto"/>
          <w:sz w:val="22"/>
          <w:szCs w:val="22"/>
          <w:lang w:val="en-GB"/>
        </w:rPr>
      </w:pPr>
    </w:p>
    <w:p w14:paraId="2EA2BEFA" w14:textId="1B8B3645" w:rsidR="00254717" w:rsidRDefault="00254717" w:rsidP="00E079EB">
      <w:pPr>
        <w:pStyle w:val="Default"/>
        <w:jc w:val="both"/>
        <w:rPr>
          <w:rFonts w:asciiTheme="minorHAnsi" w:eastAsia="Calibri" w:hAnsiTheme="minorHAnsi" w:cstheme="minorHAnsi"/>
          <w:color w:val="auto"/>
          <w:sz w:val="22"/>
          <w:szCs w:val="22"/>
          <w:lang w:val="en-GB"/>
        </w:rPr>
      </w:pPr>
      <w:r w:rsidRPr="00254717">
        <w:rPr>
          <w:rFonts w:asciiTheme="minorHAnsi" w:eastAsia="Calibri" w:hAnsiTheme="minorHAnsi" w:cstheme="minorHAnsi"/>
          <w:color w:val="auto"/>
          <w:sz w:val="22"/>
          <w:szCs w:val="22"/>
          <w:lang w:val="en-GB"/>
        </w:rPr>
        <w:t xml:space="preserve">The implementation of this methodology for </w:t>
      </w:r>
      <w:proofErr w:type="spellStart"/>
      <w:r w:rsidRPr="00254717">
        <w:rPr>
          <w:rFonts w:asciiTheme="minorHAnsi" w:eastAsia="Calibri" w:hAnsiTheme="minorHAnsi" w:cstheme="minorHAnsi"/>
          <w:color w:val="auto"/>
          <w:sz w:val="22"/>
          <w:szCs w:val="22"/>
          <w:lang w:val="en-GB"/>
        </w:rPr>
        <w:t>redispatching</w:t>
      </w:r>
      <w:proofErr w:type="spellEnd"/>
      <w:r w:rsidRPr="00254717">
        <w:rPr>
          <w:rFonts w:asciiTheme="minorHAnsi" w:eastAsia="Calibri" w:hAnsiTheme="minorHAnsi" w:cstheme="minorHAnsi"/>
          <w:color w:val="auto"/>
          <w:sz w:val="22"/>
          <w:szCs w:val="22"/>
          <w:lang w:val="en-GB"/>
        </w:rPr>
        <w:t xml:space="preserve"> and countertrading cost-sharing is subject to:</w:t>
      </w:r>
    </w:p>
    <w:p w14:paraId="4F46025A" w14:textId="77777777" w:rsidR="00E079EB" w:rsidRPr="00254717" w:rsidRDefault="00E079EB" w:rsidP="00E079EB">
      <w:pPr>
        <w:pStyle w:val="Default"/>
        <w:jc w:val="both"/>
        <w:rPr>
          <w:rFonts w:asciiTheme="minorHAnsi" w:eastAsia="Calibri" w:hAnsiTheme="minorHAnsi" w:cstheme="minorHAnsi"/>
          <w:color w:val="auto"/>
          <w:sz w:val="22"/>
          <w:szCs w:val="22"/>
          <w:lang w:val="en-GB"/>
        </w:rPr>
      </w:pPr>
    </w:p>
    <w:p w14:paraId="3485407B" w14:textId="77777777" w:rsidR="00254717" w:rsidRPr="00254717" w:rsidRDefault="00254717" w:rsidP="00254717">
      <w:pPr>
        <w:pStyle w:val="Default"/>
        <w:ind w:left="360"/>
        <w:jc w:val="both"/>
        <w:rPr>
          <w:rFonts w:asciiTheme="minorHAnsi" w:eastAsia="Calibri" w:hAnsiTheme="minorHAnsi" w:cstheme="minorHAnsi"/>
          <w:color w:val="auto"/>
          <w:sz w:val="22"/>
          <w:szCs w:val="22"/>
          <w:lang w:val="en-GB"/>
        </w:rPr>
      </w:pPr>
      <w:r w:rsidRPr="00254717">
        <w:rPr>
          <w:rFonts w:asciiTheme="minorHAnsi" w:eastAsia="Calibri" w:hAnsiTheme="minorHAnsi" w:cstheme="minorHAnsi"/>
          <w:color w:val="auto"/>
          <w:sz w:val="22"/>
          <w:szCs w:val="22"/>
          <w:lang w:val="en-GB"/>
        </w:rPr>
        <w:t xml:space="preserve">a) Regulatory approval of this </w:t>
      </w:r>
      <w:proofErr w:type="spellStart"/>
      <w:r w:rsidRPr="00254717">
        <w:rPr>
          <w:rFonts w:asciiTheme="minorHAnsi" w:eastAsia="Calibri" w:hAnsiTheme="minorHAnsi" w:cstheme="minorHAnsi"/>
          <w:color w:val="auto"/>
          <w:sz w:val="22"/>
          <w:szCs w:val="22"/>
          <w:lang w:val="en-GB"/>
        </w:rPr>
        <w:t>Redispatching</w:t>
      </w:r>
      <w:proofErr w:type="spellEnd"/>
      <w:r w:rsidRPr="00254717">
        <w:rPr>
          <w:rFonts w:asciiTheme="minorHAnsi" w:eastAsia="Calibri" w:hAnsiTheme="minorHAnsi" w:cstheme="minorHAnsi"/>
          <w:color w:val="auto"/>
          <w:sz w:val="22"/>
          <w:szCs w:val="22"/>
          <w:lang w:val="en-GB"/>
        </w:rPr>
        <w:t xml:space="preserve"> and Countertrading Cost Sharing Methodology in accordance with Article 9 of the CACM Regulation;</w:t>
      </w:r>
    </w:p>
    <w:p w14:paraId="346A1313" w14:textId="77777777" w:rsidR="00E079EB" w:rsidRDefault="00254717" w:rsidP="00E079EB">
      <w:pPr>
        <w:pStyle w:val="Default"/>
        <w:ind w:left="360"/>
        <w:jc w:val="both"/>
        <w:rPr>
          <w:rFonts w:asciiTheme="minorHAnsi" w:eastAsia="Calibri" w:hAnsiTheme="minorHAnsi" w:cstheme="minorHAnsi"/>
          <w:color w:val="auto"/>
          <w:sz w:val="22"/>
          <w:szCs w:val="22"/>
          <w:lang w:val="en-GB"/>
        </w:rPr>
      </w:pPr>
      <w:r w:rsidRPr="00254717">
        <w:rPr>
          <w:rFonts w:asciiTheme="minorHAnsi" w:eastAsia="Calibri" w:hAnsiTheme="minorHAnsi" w:cstheme="minorHAnsi"/>
          <w:color w:val="auto"/>
          <w:sz w:val="22"/>
          <w:szCs w:val="22"/>
          <w:lang w:val="en-GB"/>
        </w:rPr>
        <w:t>b) Regulatory approval of Common Coordinated Capacity Calculation Methodology required by Article 20 of the CACM Regulation and it</w:t>
      </w:r>
      <w:r w:rsidR="00E079EB">
        <w:rPr>
          <w:rFonts w:asciiTheme="minorHAnsi" w:eastAsia="Calibri" w:hAnsiTheme="minorHAnsi" w:cstheme="minorHAnsi"/>
          <w:color w:val="auto"/>
          <w:sz w:val="22"/>
          <w:szCs w:val="22"/>
          <w:lang w:val="en-GB"/>
        </w:rPr>
        <w:t>s implementation;</w:t>
      </w:r>
    </w:p>
    <w:p w14:paraId="04C39F4A" w14:textId="4BD51195" w:rsidR="00254717" w:rsidRDefault="00254717" w:rsidP="00E079EB">
      <w:pPr>
        <w:pStyle w:val="Default"/>
        <w:ind w:left="360"/>
        <w:jc w:val="both"/>
        <w:rPr>
          <w:rFonts w:asciiTheme="minorHAnsi" w:eastAsia="Calibri" w:hAnsiTheme="minorHAnsi" w:cstheme="minorHAnsi"/>
          <w:color w:val="auto"/>
          <w:sz w:val="22"/>
          <w:szCs w:val="22"/>
          <w:lang w:val="en-GB"/>
        </w:rPr>
      </w:pPr>
      <w:r w:rsidRPr="00254717">
        <w:rPr>
          <w:rFonts w:asciiTheme="minorHAnsi" w:eastAsia="Calibri" w:hAnsiTheme="minorHAnsi" w:cstheme="minorHAnsi"/>
          <w:color w:val="auto"/>
          <w:sz w:val="22"/>
          <w:szCs w:val="22"/>
          <w:lang w:val="en-GB"/>
        </w:rPr>
        <w:t>c) Regulatory approval of the RD and CT Methodology required by Article 35 of the CACM Regulation and its implementation</w:t>
      </w:r>
    </w:p>
    <w:p w14:paraId="5A538C6A" w14:textId="4BF69F31" w:rsidR="00CB419E" w:rsidRDefault="00CB419E" w:rsidP="00E079EB">
      <w:pPr>
        <w:pStyle w:val="Default"/>
        <w:jc w:val="both"/>
        <w:rPr>
          <w:rFonts w:asciiTheme="minorHAnsi" w:eastAsia="Calibri" w:hAnsiTheme="minorHAnsi" w:cstheme="minorHAnsi"/>
          <w:color w:val="auto"/>
          <w:sz w:val="22"/>
          <w:szCs w:val="22"/>
          <w:lang w:val="en-GB"/>
        </w:rPr>
      </w:pPr>
      <w:r w:rsidRPr="004F293D">
        <w:rPr>
          <w:rFonts w:asciiTheme="minorHAnsi" w:eastAsia="Calibri" w:hAnsiTheme="minorHAnsi" w:cstheme="minorHAnsi"/>
          <w:color w:val="auto"/>
          <w:sz w:val="22"/>
          <w:szCs w:val="22"/>
          <w:lang w:val="en-GB"/>
        </w:rPr>
        <w:t xml:space="preserve"> </w:t>
      </w:r>
    </w:p>
    <w:p w14:paraId="6DC9A47F" w14:textId="7CAE1220" w:rsidR="00304536" w:rsidRDefault="00304536" w:rsidP="007D1FFC"/>
    <w:p w14:paraId="00717B84" w14:textId="77777777" w:rsidR="00903CD6" w:rsidRDefault="007D1FFC" w:rsidP="007D1FFC">
      <w:pPr>
        <w:spacing w:after="120" w:line="260" w:lineRule="exact"/>
        <w:jc w:val="center"/>
        <w:outlineLvl w:val="1"/>
        <w:rPr>
          <w:rFonts w:cstheme="minorHAnsi"/>
          <w:b/>
          <w:color w:val="23236E" w:themeColor="text2"/>
          <w:sz w:val="24"/>
          <w:szCs w:val="24"/>
          <w:lang w:val="en-US"/>
        </w:rPr>
      </w:pPr>
      <w:r w:rsidRPr="00D16C65">
        <w:rPr>
          <w:rFonts w:cstheme="minorHAnsi"/>
          <w:b/>
          <w:color w:val="23236E" w:themeColor="text2"/>
          <w:sz w:val="24"/>
          <w:szCs w:val="24"/>
          <w:lang w:val="en-US"/>
        </w:rPr>
        <w:t xml:space="preserve">Article </w:t>
      </w:r>
      <w:r w:rsidR="00755110">
        <w:rPr>
          <w:rFonts w:cstheme="minorHAnsi"/>
          <w:b/>
          <w:color w:val="23236E" w:themeColor="text2"/>
          <w:sz w:val="24"/>
          <w:szCs w:val="24"/>
          <w:lang w:val="en-US"/>
        </w:rPr>
        <w:t>1</w:t>
      </w:r>
      <w:r w:rsidR="007557A2">
        <w:rPr>
          <w:rFonts w:cstheme="minorHAnsi"/>
          <w:b/>
          <w:color w:val="23236E" w:themeColor="text2"/>
          <w:sz w:val="24"/>
          <w:szCs w:val="24"/>
          <w:lang w:val="en-US"/>
        </w:rPr>
        <w:t>5</w:t>
      </w:r>
    </w:p>
    <w:p w14:paraId="03E33C31" w14:textId="1C9C20B1" w:rsidR="007D1FFC" w:rsidRDefault="007D1FFC" w:rsidP="007D1FFC">
      <w:pPr>
        <w:spacing w:after="120" w:line="260" w:lineRule="exact"/>
        <w:jc w:val="center"/>
        <w:outlineLvl w:val="1"/>
        <w:rPr>
          <w:rFonts w:cstheme="minorHAnsi"/>
          <w:b/>
          <w:color w:val="23236E" w:themeColor="text2"/>
          <w:sz w:val="24"/>
          <w:szCs w:val="24"/>
          <w:lang w:val="en-US"/>
        </w:rPr>
      </w:pPr>
      <w:r>
        <w:rPr>
          <w:rFonts w:cstheme="minorHAnsi"/>
          <w:b/>
          <w:color w:val="23236E" w:themeColor="text2"/>
          <w:sz w:val="24"/>
          <w:szCs w:val="24"/>
          <w:lang w:val="en-US"/>
        </w:rPr>
        <w:br/>
      </w:r>
      <w:r w:rsidRPr="007D1FFC">
        <w:rPr>
          <w:rFonts w:cstheme="minorHAnsi"/>
          <w:b/>
          <w:color w:val="23236E" w:themeColor="text2"/>
          <w:sz w:val="24"/>
          <w:szCs w:val="24"/>
          <w:lang w:val="en-US"/>
        </w:rPr>
        <w:t>Language</w:t>
      </w:r>
    </w:p>
    <w:p w14:paraId="4F7058A3" w14:textId="50EF6EE1" w:rsidR="00AC4B59" w:rsidRDefault="00AC4B59" w:rsidP="00AC4B59">
      <w:pPr>
        <w:jc w:val="both"/>
      </w:pPr>
    </w:p>
    <w:p w14:paraId="24053A43" w14:textId="5DCEFA47" w:rsidR="00AC4B59" w:rsidRPr="007D1FFC" w:rsidRDefault="00AC4B59" w:rsidP="00AC4B59">
      <w:pPr>
        <w:jc w:val="both"/>
        <w:rPr>
          <w:highlight w:val="yellow"/>
          <w:lang w:val="en-US"/>
        </w:rPr>
      </w:pPr>
      <w:r w:rsidRPr="00AC4B59">
        <w:rPr>
          <w:lang w:val="en-US"/>
        </w:rPr>
        <w:t>The reference langu</w:t>
      </w:r>
      <w:r>
        <w:rPr>
          <w:lang w:val="en-US"/>
        </w:rPr>
        <w:t>age for this SEE RDCT</w:t>
      </w:r>
      <w:r w:rsidRPr="00AC4B59">
        <w:rPr>
          <w:lang w:val="en-US"/>
        </w:rPr>
        <w:t xml:space="preserve"> Cost Sharing Proposal shall be English. For the avoidance of doubt, where TSOs need to translate this into their national language(s), in the event of inconsistencies between the English version published by TSOs in accordance with Article 9 (14) of the CACM Regulation and any version in another language the relevant TSOs shall, in accordance with national legislation, provide the relevant national regulatory authorities with an updated transl</w:t>
      </w:r>
      <w:r>
        <w:rPr>
          <w:lang w:val="en-US"/>
        </w:rPr>
        <w:t>ation of the SEE RDCT</w:t>
      </w:r>
      <w:r w:rsidRPr="00AC4B59">
        <w:rPr>
          <w:lang w:val="en-US"/>
        </w:rPr>
        <w:t xml:space="preserve"> Cost Sharing Proposal.</w:t>
      </w:r>
    </w:p>
    <w:p w14:paraId="35FB1466" w14:textId="77777777" w:rsidR="007D1FFC" w:rsidRDefault="007D1FFC" w:rsidP="007D1FFC"/>
    <w:p w14:paraId="29038172" w14:textId="77777777" w:rsidR="007D1FFC" w:rsidRPr="001447CE" w:rsidRDefault="007D1FFC" w:rsidP="007D1FFC">
      <w:pPr>
        <w:spacing w:after="120" w:line="259" w:lineRule="auto"/>
        <w:contextualSpacing/>
        <w:rPr>
          <w:rFonts w:ascii="Times New Roman" w:hAnsi="Times New Roman" w:cstheme="majorHAnsi"/>
          <w:b/>
          <w:color w:val="23236E" w:themeColor="text2"/>
          <w:sz w:val="24"/>
          <w:szCs w:val="28"/>
        </w:rPr>
      </w:pPr>
    </w:p>
    <w:sectPr w:rsidR="007D1FFC" w:rsidRPr="001447CE" w:rsidSect="002F423B">
      <w:headerReference w:type="even" r:id="rId16"/>
      <w:headerReference w:type="default" r:id="rId17"/>
      <w:footerReference w:type="even" r:id="rId18"/>
      <w:footerReference w:type="default" r:id="rId19"/>
      <w:headerReference w:type="first" r:id="rId20"/>
      <w:footerReference w:type="first" r:id="rId21"/>
      <w:pgSz w:w="11906" w:h="16838"/>
      <w:pgMar w:top="1928" w:right="1021" w:bottom="1701" w:left="1361" w:header="709" w:footer="170"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A35514" w15:done="0"/>
  <w15:commentEx w15:paraId="4898FAD5" w15:done="0"/>
  <w15:commentEx w15:paraId="5D7391CD" w15:paraIdParent="4898FAD5" w15:done="0"/>
  <w15:commentEx w15:paraId="689A33AE" w15:done="0"/>
  <w15:commentEx w15:paraId="7ACF3B18" w15:done="0"/>
  <w15:commentEx w15:paraId="1B579CA6" w15:done="0"/>
  <w15:commentEx w15:paraId="34587062" w15:done="0"/>
  <w15:commentEx w15:paraId="7B7206C1" w15:done="0"/>
  <w15:commentEx w15:paraId="31154B8C" w15:done="0"/>
  <w15:commentEx w15:paraId="64160D26" w15:done="0"/>
  <w15:commentEx w15:paraId="47EC0D97" w15:done="0"/>
  <w15:commentEx w15:paraId="4DA413BC" w15:done="0"/>
  <w15:commentEx w15:paraId="581BB0AC" w15:done="0"/>
  <w15:commentEx w15:paraId="0B96BC16" w15:done="0"/>
  <w15:commentEx w15:paraId="1364867E" w15:done="0"/>
  <w15:commentEx w15:paraId="77C7196D" w15:done="0"/>
  <w15:commentEx w15:paraId="3AC69FE3" w15:done="0"/>
  <w15:commentEx w15:paraId="3C34B301" w15:done="0"/>
  <w15:commentEx w15:paraId="2379C9F9" w15:paraIdParent="3C34B301" w15:done="0"/>
  <w15:commentEx w15:paraId="47ABC08D" w15:done="0"/>
  <w15:commentEx w15:paraId="7B590736" w15:done="0"/>
  <w15:commentEx w15:paraId="1ACDA489" w15:done="0"/>
  <w15:commentEx w15:paraId="602D29A1" w15:done="0"/>
  <w15:commentEx w15:paraId="08D91D62" w15:done="0"/>
  <w15:commentEx w15:paraId="5563CDFC" w15:done="0"/>
  <w15:commentEx w15:paraId="7FDFCFC6" w15:done="0"/>
  <w15:commentEx w15:paraId="5A7372B5" w15:done="0"/>
  <w15:commentEx w15:paraId="139BA123" w15:done="0"/>
  <w15:commentEx w15:paraId="42E11258" w15:done="0"/>
  <w15:commentEx w15:paraId="24441A46" w15:done="0"/>
  <w15:commentEx w15:paraId="5EBCB5E7" w15:done="0"/>
  <w15:commentEx w15:paraId="0FE8306D" w15:done="0"/>
  <w15:commentEx w15:paraId="27A33045" w15:done="0"/>
  <w15:commentEx w15:paraId="0E53E9BB" w15:done="0"/>
  <w15:commentEx w15:paraId="4BD5F9DE" w15:done="0"/>
  <w15:commentEx w15:paraId="557FB805" w15:done="0"/>
  <w15:commentEx w15:paraId="41C25CEE" w15:done="0"/>
  <w15:commentEx w15:paraId="61275F67" w15:done="0"/>
  <w15:commentEx w15:paraId="10D640D2" w15:done="0"/>
  <w15:commentEx w15:paraId="646BB542" w15:done="0"/>
  <w15:commentEx w15:paraId="4D8C72E2" w15:done="0"/>
  <w15:commentEx w15:paraId="7A6B2C91" w15:done="0"/>
  <w15:commentEx w15:paraId="1B3DD7F7" w15:done="0"/>
  <w15:commentEx w15:paraId="18069F44" w15:done="0"/>
  <w15:commentEx w15:paraId="130F7DC3" w15:done="0"/>
  <w15:commentEx w15:paraId="5D02BE15" w15:done="0"/>
  <w15:commentEx w15:paraId="6D832379" w15:done="0"/>
  <w15:commentEx w15:paraId="7F50A425" w15:done="0"/>
  <w15:commentEx w15:paraId="704AF7D4" w15:done="0"/>
  <w15:commentEx w15:paraId="257EB487" w15:done="0"/>
  <w15:commentEx w15:paraId="6C54D016" w15:done="0"/>
  <w15:commentEx w15:paraId="0CBFC173" w15:done="0"/>
  <w15:commentEx w15:paraId="336D0A28" w15:done="0"/>
  <w15:commentEx w15:paraId="68EA9969" w15:done="0"/>
  <w15:commentEx w15:paraId="003E1550" w15:done="0"/>
  <w15:commentEx w15:paraId="51F2D7A0" w15:done="0"/>
  <w15:commentEx w15:paraId="7043C54D" w15:done="0"/>
  <w15:commentEx w15:paraId="5D713AAB" w15:done="0"/>
  <w15:commentEx w15:paraId="5BE48C2F" w15:done="0"/>
  <w15:commentEx w15:paraId="69E2CDA6" w15:done="0"/>
  <w15:commentEx w15:paraId="3CF84CB2" w15:done="0"/>
  <w15:commentEx w15:paraId="1CA3180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02DEF" w14:textId="77777777" w:rsidR="007072D2" w:rsidRDefault="007072D2" w:rsidP="00B04144">
      <w:r>
        <w:separator/>
      </w:r>
    </w:p>
  </w:endnote>
  <w:endnote w:type="continuationSeparator" w:id="0">
    <w:p w14:paraId="6EF9A9D1" w14:textId="77777777" w:rsidR="007072D2" w:rsidRDefault="007072D2" w:rsidP="00B04144">
      <w:r>
        <w:continuationSeparator/>
      </w:r>
    </w:p>
  </w:endnote>
  <w:endnote w:type="continuationNotice" w:id="1">
    <w:p w14:paraId="15062E12" w14:textId="77777777" w:rsidR="007072D2" w:rsidRDefault="007072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E684F" w14:textId="77777777" w:rsidR="009D4257" w:rsidRDefault="009D4257" w:rsidP="001B55D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9EC5FD" w14:textId="77777777" w:rsidR="009D4257" w:rsidRDefault="009D4257" w:rsidP="006E6F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42" w:rightFromText="142" w:vertAnchor="page" w:horzAnchor="page" w:tblpX="1362" w:tblpY="161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23"/>
    </w:tblGrid>
    <w:tr w:rsidR="009D4257" w:rsidRPr="00163012" w14:paraId="2980775E" w14:textId="77777777" w:rsidTr="003D0965">
      <w:trPr>
        <w:trHeight w:hRule="exact" w:val="284"/>
      </w:trPr>
      <w:tc>
        <w:tcPr>
          <w:tcW w:w="9923" w:type="dxa"/>
          <w:vAlign w:val="center"/>
        </w:tcPr>
        <w:p w14:paraId="4CEC8A3F" w14:textId="00F82F5C" w:rsidR="009D4257" w:rsidRPr="003D0965" w:rsidRDefault="009D4257" w:rsidP="00CD009F">
          <w:pPr>
            <w:pStyle w:val="Footer"/>
            <w:rPr>
              <w:rFonts w:asciiTheme="majorHAnsi" w:hAnsiTheme="majorHAnsi" w:cstheme="majorHAnsi"/>
              <w:sz w:val="14"/>
              <w:szCs w:val="14"/>
              <w:lang w:val="de-DE"/>
            </w:rPr>
          </w:pPr>
        </w:p>
      </w:tc>
    </w:tr>
  </w:tbl>
  <w:tbl>
    <w:tblPr>
      <w:tblStyle w:val="TableGrid"/>
      <w:tblpPr w:leftFromText="142" w:rightFromText="142" w:vertAnchor="page" w:horzAnchor="page" w:tblpX="10661" w:tblpY="157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4"/>
    </w:tblGrid>
    <w:tr w:rsidR="009D4257" w14:paraId="27C3F964" w14:textId="77777777" w:rsidTr="003D0965">
      <w:trPr>
        <w:trHeight w:hRule="exact" w:val="284"/>
      </w:trPr>
      <w:tc>
        <w:tcPr>
          <w:tcW w:w="624" w:type="dxa"/>
        </w:tcPr>
        <w:p w14:paraId="40701AE1" w14:textId="385F0A5D" w:rsidR="009D4257" w:rsidRDefault="009D4257" w:rsidP="006E6F1D">
          <w:pPr>
            <w:pStyle w:val="Footer"/>
            <w:jc w:val="right"/>
          </w:pPr>
          <w:r>
            <w:fldChar w:fldCharType="begin"/>
          </w:r>
          <w:r>
            <w:instrText xml:space="preserve"> PAGE   \* MERGEFORMAT </w:instrText>
          </w:r>
          <w:r>
            <w:fldChar w:fldCharType="separate"/>
          </w:r>
          <w:r w:rsidR="00F305F3">
            <w:rPr>
              <w:noProof/>
            </w:rPr>
            <w:t>15</w:t>
          </w:r>
          <w:r>
            <w:rPr>
              <w:noProof/>
            </w:rPr>
            <w:fldChar w:fldCharType="end"/>
          </w:r>
        </w:p>
      </w:tc>
    </w:tr>
  </w:tbl>
  <w:p w14:paraId="24432807" w14:textId="221B6958" w:rsidR="009D4257" w:rsidRPr="003D0965" w:rsidRDefault="009D4257" w:rsidP="006E6F1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42" w:rightFromText="142" w:vertAnchor="page" w:horzAnchor="page" w:tblpX="1362" w:tblpY="161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23"/>
    </w:tblGrid>
    <w:tr w:rsidR="009D4257" w:rsidRPr="00163012" w14:paraId="39BD8CB1" w14:textId="77777777" w:rsidTr="003D0965">
      <w:trPr>
        <w:trHeight w:hRule="exact" w:val="284"/>
      </w:trPr>
      <w:tc>
        <w:tcPr>
          <w:tcW w:w="9923" w:type="dxa"/>
          <w:vAlign w:val="center"/>
        </w:tcPr>
        <w:p w14:paraId="2CB869BF" w14:textId="75856135" w:rsidR="009D4257" w:rsidRPr="00CB14AB" w:rsidRDefault="009D4257" w:rsidP="003D0965">
          <w:pPr>
            <w:pStyle w:val="Footer"/>
            <w:rPr>
              <w:rFonts w:asciiTheme="majorHAnsi" w:hAnsiTheme="majorHAnsi" w:cstheme="majorHAnsi"/>
              <w:sz w:val="14"/>
              <w:szCs w:val="14"/>
              <w:lang w:val="fr-FR"/>
            </w:rPr>
          </w:pPr>
        </w:p>
      </w:tc>
    </w:tr>
  </w:tbl>
  <w:p w14:paraId="37CB4701" w14:textId="5E68CCCB" w:rsidR="009D4257" w:rsidRDefault="009D42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95384" w14:textId="77777777" w:rsidR="007072D2" w:rsidRDefault="007072D2" w:rsidP="00B04144">
      <w:r>
        <w:separator/>
      </w:r>
    </w:p>
  </w:footnote>
  <w:footnote w:type="continuationSeparator" w:id="0">
    <w:p w14:paraId="60C1D5C9" w14:textId="77777777" w:rsidR="007072D2" w:rsidRDefault="007072D2" w:rsidP="00B04144">
      <w:r>
        <w:continuationSeparator/>
      </w:r>
    </w:p>
  </w:footnote>
  <w:footnote w:type="continuationNotice" w:id="1">
    <w:p w14:paraId="58FC93BB" w14:textId="77777777" w:rsidR="007072D2" w:rsidRDefault="007072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F7865" w14:textId="77777777" w:rsidR="00CB5F37" w:rsidRDefault="00CB5F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65111" w14:textId="77777777" w:rsidR="002A5A44" w:rsidRPr="002A5A44" w:rsidRDefault="002A5A44" w:rsidP="002A5A44">
    <w:pPr>
      <w:pStyle w:val="Footer"/>
      <w:rPr>
        <w:lang w:val="en-US"/>
      </w:rPr>
    </w:pPr>
    <w:r w:rsidRPr="002A5A44">
      <w:rPr>
        <w:lang w:val="en-US"/>
      </w:rPr>
      <w:t xml:space="preserve">SEE CCR TSOs proposal for </w:t>
    </w:r>
    <w:proofErr w:type="spellStart"/>
    <w:r w:rsidRPr="002A5A44">
      <w:rPr>
        <w:lang w:val="en-US"/>
      </w:rPr>
      <w:t>Redispatching</w:t>
    </w:r>
    <w:proofErr w:type="spellEnd"/>
    <w:r w:rsidRPr="002A5A44">
      <w:rPr>
        <w:lang w:val="en-US"/>
      </w:rPr>
      <w:t xml:space="preserve"> and Countertrading cost sharing methodology in accordance with Article 74 of Commission Regulation (EU) 2015/1222 of 24 July 2015 establishing a guideline on capacity allocation and congestion management</w:t>
    </w:r>
  </w:p>
  <w:p w14:paraId="7B19DD8E" w14:textId="29B309C0" w:rsidR="009D4257" w:rsidRDefault="009D4257" w:rsidP="003D0965">
    <w:pPr>
      <w:pStyle w:val="Footer"/>
    </w:pPr>
    <w:r>
      <w:rPr>
        <w:noProof/>
        <w:lang w:eastAsia="en-GB"/>
      </w:rPr>
      <mc:AlternateContent>
        <mc:Choice Requires="wps">
          <w:drawing>
            <wp:anchor distT="0" distB="0" distL="114300" distR="114300" simplePos="0" relativeHeight="251658240" behindDoc="0" locked="1" layoutInCell="1" allowOverlap="1" wp14:anchorId="5406F5B4" wp14:editId="2A0CE098">
              <wp:simplePos x="0" y="0"/>
              <wp:positionH relativeFrom="page">
                <wp:posOffset>864235</wp:posOffset>
              </wp:positionH>
              <wp:positionV relativeFrom="page">
                <wp:posOffset>1062355</wp:posOffset>
              </wp:positionV>
              <wp:extent cx="6047740" cy="0"/>
              <wp:effectExtent l="6985" t="14605" r="12700" b="1397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straightConnector1">
                        <a:avLst/>
                      </a:prstGeom>
                      <a:noFill/>
                      <a:ln w="127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w16se="http://schemas.microsoft.com/office/word/2015/wordml/symex" xmlns:cx1="http://schemas.microsoft.com/office/drawing/2015/9/8/chartex" xmlns:cx="http://schemas.microsoft.com/office/drawing/2014/chartex">
          <w:pict>
            <v:shapetype w14:anchorId="357709D5" id="_x0000_t32" coordsize="21600,21600" o:spt="32" o:oned="t" path="m,l21600,21600e" filled="f">
              <v:path arrowok="t" fillok="f" o:connecttype="none"/>
              <o:lock v:ext="edit" shapetype="t"/>
            </v:shapetype>
            <v:shape id="AutoShape 8" o:spid="_x0000_s1026" type="#_x0000_t32" style="position:absolute;margin-left:68.05pt;margin-top:83.65pt;width:476.2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" strokecolor="#23236e [3215]" strokeweight="1pt">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D0FCC" w14:textId="77777777" w:rsidR="00CB5F37" w:rsidRDefault="00CB5F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8B8E0D"/>
    <w:multiLevelType w:val="hybridMultilevel"/>
    <w:tmpl w:val="EBE4FD61"/>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C32839C"/>
    <w:multiLevelType w:val="hybridMultilevel"/>
    <w:tmpl w:val="77757C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1E3931"/>
    <w:multiLevelType w:val="multilevel"/>
    <w:tmpl w:val="0413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nsid w:val="00B9608A"/>
    <w:multiLevelType w:val="hybridMultilevel"/>
    <w:tmpl w:val="128038D2"/>
    <w:lvl w:ilvl="0" w:tplc="0409000F">
      <w:start w:val="1"/>
      <w:numFmt w:val="decimal"/>
      <w:lvlText w:val="%1."/>
      <w:lvlJc w:val="left"/>
      <w:pPr>
        <w:ind w:left="720" w:hanging="360"/>
      </w:pPr>
      <w:rPr>
        <w:rFonts w:hint="default"/>
      </w:rPr>
    </w:lvl>
    <w:lvl w:ilvl="1" w:tplc="F5BE38A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1567CDD"/>
    <w:multiLevelType w:val="hybridMultilevel"/>
    <w:tmpl w:val="350C81A8"/>
    <w:lvl w:ilvl="0" w:tplc="0409000F">
      <w:start w:val="1"/>
      <w:numFmt w:val="decimal"/>
      <w:lvlText w:val="%1."/>
      <w:lvlJc w:val="left"/>
      <w:pPr>
        <w:ind w:left="720" w:hanging="360"/>
      </w:pPr>
      <w:rPr>
        <w:rFonts w:hint="default"/>
      </w:rPr>
    </w:lvl>
    <w:lvl w:ilvl="1" w:tplc="F5BE38A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51D53C0"/>
    <w:multiLevelType w:val="hybridMultilevel"/>
    <w:tmpl w:val="B728F486"/>
    <w:lvl w:ilvl="0" w:tplc="04100001">
      <w:start w:val="1"/>
      <w:numFmt w:val="bullet"/>
      <w:lvlText w:val=""/>
      <w:lvlJc w:val="left"/>
      <w:pPr>
        <w:tabs>
          <w:tab w:val="num" w:pos="360"/>
        </w:tabs>
        <w:ind w:left="360" w:hanging="360"/>
      </w:pPr>
      <w:rPr>
        <w:rFonts w:ascii="Symbol" w:hAnsi="Symbol" w:hint="default"/>
      </w:rPr>
    </w:lvl>
    <w:lvl w:ilvl="1" w:tplc="F516FE18">
      <w:start w:val="1"/>
      <w:numFmt w:val="decimal"/>
      <w:lvlText w:val="%2."/>
      <w:lvlJc w:val="left"/>
      <w:pPr>
        <w:tabs>
          <w:tab w:val="num" w:pos="1080"/>
        </w:tabs>
        <w:ind w:left="1080" w:hanging="360"/>
      </w:pPr>
    </w:lvl>
    <w:lvl w:ilvl="2" w:tplc="04100001">
      <w:start w:val="1"/>
      <w:numFmt w:val="bullet"/>
      <w:lvlText w:val=""/>
      <w:lvlJc w:val="left"/>
      <w:pPr>
        <w:tabs>
          <w:tab w:val="num" w:pos="1800"/>
        </w:tabs>
        <w:ind w:left="1800" w:hanging="360"/>
      </w:pPr>
      <w:rPr>
        <w:rFonts w:ascii="Symbol" w:hAnsi="Symbol" w:hint="default"/>
      </w:rPr>
    </w:lvl>
    <w:lvl w:ilvl="3" w:tplc="AB1AA7BC">
      <w:start w:val="1"/>
      <w:numFmt w:val="decimal"/>
      <w:lvlText w:val="%4."/>
      <w:lvlJc w:val="left"/>
      <w:pPr>
        <w:tabs>
          <w:tab w:val="num" w:pos="2520"/>
        </w:tabs>
        <w:ind w:left="2520" w:hanging="360"/>
      </w:pPr>
    </w:lvl>
    <w:lvl w:ilvl="4" w:tplc="4AB45C26" w:tentative="1">
      <w:start w:val="1"/>
      <w:numFmt w:val="decimal"/>
      <w:lvlText w:val="%5."/>
      <w:lvlJc w:val="left"/>
      <w:pPr>
        <w:tabs>
          <w:tab w:val="num" w:pos="3240"/>
        </w:tabs>
        <w:ind w:left="3240" w:hanging="360"/>
      </w:pPr>
    </w:lvl>
    <w:lvl w:ilvl="5" w:tplc="9AB82702" w:tentative="1">
      <w:start w:val="1"/>
      <w:numFmt w:val="decimal"/>
      <w:lvlText w:val="%6."/>
      <w:lvlJc w:val="left"/>
      <w:pPr>
        <w:tabs>
          <w:tab w:val="num" w:pos="3960"/>
        </w:tabs>
        <w:ind w:left="3960" w:hanging="360"/>
      </w:pPr>
    </w:lvl>
    <w:lvl w:ilvl="6" w:tplc="CB62297A" w:tentative="1">
      <w:start w:val="1"/>
      <w:numFmt w:val="decimal"/>
      <w:lvlText w:val="%7."/>
      <w:lvlJc w:val="left"/>
      <w:pPr>
        <w:tabs>
          <w:tab w:val="num" w:pos="4680"/>
        </w:tabs>
        <w:ind w:left="4680" w:hanging="360"/>
      </w:pPr>
    </w:lvl>
    <w:lvl w:ilvl="7" w:tplc="8E70D65C" w:tentative="1">
      <w:start w:val="1"/>
      <w:numFmt w:val="decimal"/>
      <w:lvlText w:val="%8."/>
      <w:lvlJc w:val="left"/>
      <w:pPr>
        <w:tabs>
          <w:tab w:val="num" w:pos="5400"/>
        </w:tabs>
        <w:ind w:left="5400" w:hanging="360"/>
      </w:pPr>
    </w:lvl>
    <w:lvl w:ilvl="8" w:tplc="0510B7B2" w:tentative="1">
      <w:start w:val="1"/>
      <w:numFmt w:val="decimal"/>
      <w:lvlText w:val="%9."/>
      <w:lvlJc w:val="left"/>
      <w:pPr>
        <w:tabs>
          <w:tab w:val="num" w:pos="6120"/>
        </w:tabs>
        <w:ind w:left="6120" w:hanging="360"/>
      </w:pPr>
    </w:lvl>
  </w:abstractNum>
  <w:abstractNum w:abstractNumId="6">
    <w:nsid w:val="0C832EE8"/>
    <w:multiLevelType w:val="multilevel"/>
    <w:tmpl w:val="7D0C9870"/>
    <w:lvl w:ilvl="0">
      <w:start w:val="8"/>
      <w:numFmt w:val="decimal"/>
      <w:lvlText w:val="%1."/>
      <w:lvlJc w:val="left"/>
      <w:pPr>
        <w:ind w:left="500" w:hanging="500"/>
      </w:pPr>
      <w:rPr>
        <w:rFonts w:hint="default"/>
      </w:rPr>
    </w:lvl>
    <w:lvl w:ilvl="1">
      <w:start w:val="2"/>
      <w:numFmt w:val="decimal"/>
      <w:lvlText w:val="%1.%2."/>
      <w:lvlJc w:val="left"/>
      <w:pPr>
        <w:ind w:left="894" w:hanging="500"/>
      </w:pPr>
      <w:rPr>
        <w:rFonts w:hint="default"/>
      </w:rPr>
    </w:lvl>
    <w:lvl w:ilvl="2">
      <w:start w:val="3"/>
      <w:numFmt w:val="decimal"/>
      <w:lvlText w:val="%1.%2.%3."/>
      <w:lvlJc w:val="left"/>
      <w:pPr>
        <w:ind w:left="1508" w:hanging="720"/>
      </w:pPr>
      <w:rPr>
        <w:rFonts w:hint="default"/>
      </w:rPr>
    </w:lvl>
    <w:lvl w:ilvl="3">
      <w:start w:val="1"/>
      <w:numFmt w:val="decimal"/>
      <w:lvlText w:val="%1.%2.%3.%4."/>
      <w:lvlJc w:val="left"/>
      <w:pPr>
        <w:ind w:left="1902" w:hanging="720"/>
      </w:pPr>
      <w:rPr>
        <w:rFonts w:hint="default"/>
      </w:rPr>
    </w:lvl>
    <w:lvl w:ilvl="4">
      <w:start w:val="1"/>
      <w:numFmt w:val="decimal"/>
      <w:lvlText w:val="%1.%2.%3.%4.%5."/>
      <w:lvlJc w:val="left"/>
      <w:pPr>
        <w:ind w:left="2656" w:hanging="1080"/>
      </w:pPr>
      <w:rPr>
        <w:rFonts w:hint="default"/>
      </w:rPr>
    </w:lvl>
    <w:lvl w:ilvl="5">
      <w:start w:val="1"/>
      <w:numFmt w:val="decimal"/>
      <w:lvlText w:val="%1.%2.%3.%4.%5.%6."/>
      <w:lvlJc w:val="left"/>
      <w:pPr>
        <w:ind w:left="3050" w:hanging="1080"/>
      </w:pPr>
      <w:rPr>
        <w:rFonts w:hint="default"/>
      </w:rPr>
    </w:lvl>
    <w:lvl w:ilvl="6">
      <w:start w:val="1"/>
      <w:numFmt w:val="decimal"/>
      <w:lvlText w:val="%1.%2.%3.%4.%5.%6.%7."/>
      <w:lvlJc w:val="left"/>
      <w:pPr>
        <w:ind w:left="3804" w:hanging="1440"/>
      </w:pPr>
      <w:rPr>
        <w:rFonts w:hint="default"/>
      </w:rPr>
    </w:lvl>
    <w:lvl w:ilvl="7">
      <w:start w:val="1"/>
      <w:numFmt w:val="decimal"/>
      <w:lvlText w:val="%1.%2.%3.%4.%5.%6.%7.%8."/>
      <w:lvlJc w:val="left"/>
      <w:pPr>
        <w:ind w:left="4198" w:hanging="1440"/>
      </w:pPr>
      <w:rPr>
        <w:rFonts w:hint="default"/>
      </w:rPr>
    </w:lvl>
    <w:lvl w:ilvl="8">
      <w:start w:val="1"/>
      <w:numFmt w:val="decimal"/>
      <w:lvlText w:val="%1.%2.%3.%4.%5.%6.%7.%8.%9."/>
      <w:lvlJc w:val="left"/>
      <w:pPr>
        <w:ind w:left="4952" w:hanging="1800"/>
      </w:pPr>
      <w:rPr>
        <w:rFonts w:hint="default"/>
      </w:rPr>
    </w:lvl>
  </w:abstractNum>
  <w:abstractNum w:abstractNumId="7">
    <w:nsid w:val="0E6321CE"/>
    <w:multiLevelType w:val="hybridMultilevel"/>
    <w:tmpl w:val="350C81A8"/>
    <w:lvl w:ilvl="0" w:tplc="0409000F">
      <w:start w:val="1"/>
      <w:numFmt w:val="decimal"/>
      <w:lvlText w:val="%1."/>
      <w:lvlJc w:val="left"/>
      <w:pPr>
        <w:ind w:left="720" w:hanging="360"/>
      </w:pPr>
      <w:rPr>
        <w:rFonts w:hint="default"/>
      </w:rPr>
    </w:lvl>
    <w:lvl w:ilvl="1" w:tplc="F5BE38A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02A6098"/>
    <w:multiLevelType w:val="hybridMultilevel"/>
    <w:tmpl w:val="3AAE839C"/>
    <w:lvl w:ilvl="0" w:tplc="CB481F1E">
      <w:start w:val="1"/>
      <w:numFmt w:val="decimal"/>
      <w:lvlText w:val="(%1)"/>
      <w:lvlJc w:val="left"/>
      <w:pPr>
        <w:ind w:left="720" w:hanging="360"/>
      </w:pPr>
      <w:rPr>
        <w:rFonts w:hint="default"/>
        <w:b w:val="0"/>
      </w:rPr>
    </w:lvl>
    <w:lvl w:ilvl="1" w:tplc="6DEEA86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5076C1"/>
    <w:multiLevelType w:val="multilevel"/>
    <w:tmpl w:val="2EFC0196"/>
    <w:lvl w:ilvl="0">
      <w:start w:val="1"/>
      <w:numFmt w:val="decimal"/>
      <w:lvlText w:val="%1."/>
      <w:lvlJc w:val="left"/>
      <w:pPr>
        <w:ind w:left="720" w:hanging="360"/>
      </w:pPr>
      <w:rPr>
        <w:rFonts w:asciiTheme="minorHAnsi" w:hAnsiTheme="minorHAnsi" w:cs="Times New Roman" w:hint="default"/>
      </w:rPr>
    </w:lvl>
    <w:lvl w:ilvl="1">
      <w:start w:val="1"/>
      <w:numFmt w:val="lowerLetter"/>
      <w:lvlText w:val="%2)"/>
      <w:lvlJc w:val="left"/>
      <w:pPr>
        <w:ind w:left="1350" w:hanging="630"/>
      </w:pPr>
    </w:lvl>
    <w:lvl w:ilvl="2">
      <w:start w:val="1"/>
      <w:numFmt w:val="decimal"/>
      <w:isLgl/>
      <w:lvlText w:val="%1.%2.%3"/>
      <w:lvlJc w:val="left"/>
      <w:pPr>
        <w:ind w:left="1800" w:hanging="720"/>
      </w:pPr>
      <w:rPr>
        <w:rFonts w:cs="Calibri"/>
      </w:rPr>
    </w:lvl>
    <w:lvl w:ilvl="3">
      <w:start w:val="1"/>
      <w:numFmt w:val="decimal"/>
      <w:isLgl/>
      <w:lvlText w:val="%1.%2.%3.%4"/>
      <w:lvlJc w:val="left"/>
      <w:pPr>
        <w:ind w:left="2160" w:hanging="720"/>
      </w:pPr>
      <w:rPr>
        <w:rFonts w:cs="Calibri"/>
      </w:rPr>
    </w:lvl>
    <w:lvl w:ilvl="4">
      <w:start w:val="1"/>
      <w:numFmt w:val="decimal"/>
      <w:isLgl/>
      <w:lvlText w:val="%1.%2.%3.%4.%5"/>
      <w:lvlJc w:val="left"/>
      <w:pPr>
        <w:ind w:left="2880" w:hanging="1080"/>
      </w:pPr>
      <w:rPr>
        <w:rFonts w:cs="Calibri"/>
      </w:rPr>
    </w:lvl>
    <w:lvl w:ilvl="5">
      <w:start w:val="1"/>
      <w:numFmt w:val="decimal"/>
      <w:isLgl/>
      <w:lvlText w:val="%1.%2.%3.%4.%5.%6"/>
      <w:lvlJc w:val="left"/>
      <w:pPr>
        <w:ind w:left="3240" w:hanging="1080"/>
      </w:pPr>
      <w:rPr>
        <w:rFonts w:cs="Calibri"/>
      </w:rPr>
    </w:lvl>
    <w:lvl w:ilvl="6">
      <w:start w:val="1"/>
      <w:numFmt w:val="decimal"/>
      <w:isLgl/>
      <w:lvlText w:val="%1.%2.%3.%4.%5.%6.%7"/>
      <w:lvlJc w:val="left"/>
      <w:pPr>
        <w:ind w:left="3960" w:hanging="1440"/>
      </w:pPr>
      <w:rPr>
        <w:rFonts w:cs="Calibri"/>
      </w:rPr>
    </w:lvl>
    <w:lvl w:ilvl="7">
      <w:start w:val="1"/>
      <w:numFmt w:val="decimal"/>
      <w:isLgl/>
      <w:lvlText w:val="%1.%2.%3.%4.%5.%6.%7.%8"/>
      <w:lvlJc w:val="left"/>
      <w:pPr>
        <w:ind w:left="4320" w:hanging="1440"/>
      </w:pPr>
      <w:rPr>
        <w:rFonts w:cs="Calibri"/>
      </w:rPr>
    </w:lvl>
    <w:lvl w:ilvl="8">
      <w:start w:val="1"/>
      <w:numFmt w:val="decimal"/>
      <w:isLgl/>
      <w:lvlText w:val="%1.%2.%3.%4.%5.%6.%7.%8.%9"/>
      <w:lvlJc w:val="left"/>
      <w:pPr>
        <w:ind w:left="4680" w:hanging="1440"/>
      </w:pPr>
      <w:rPr>
        <w:rFonts w:cs="Calibri"/>
      </w:rPr>
    </w:lvl>
  </w:abstractNum>
  <w:abstractNum w:abstractNumId="10">
    <w:nsid w:val="11117FA4"/>
    <w:multiLevelType w:val="hybridMultilevel"/>
    <w:tmpl w:val="2BD873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1797154"/>
    <w:multiLevelType w:val="hybridMultilevel"/>
    <w:tmpl w:val="1C4E3BA0"/>
    <w:lvl w:ilvl="0" w:tplc="BD1A072C">
      <w:start w:val="1"/>
      <w:numFmt w:val="decimal"/>
      <w:lvlText w:val="%1."/>
      <w:lvlJc w:val="left"/>
      <w:pPr>
        <w:ind w:left="720" w:hanging="360"/>
      </w:pPr>
      <w:rPr>
        <w:rFonts w:ascii="Calibri" w:hAnsi="Calibri" w:hint="default"/>
        <w:sz w:val="20"/>
        <w:szCs w:val="20"/>
      </w:rPr>
    </w:lvl>
    <w:lvl w:ilvl="1" w:tplc="F5BE38A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2ED53FC"/>
    <w:multiLevelType w:val="hybridMultilevel"/>
    <w:tmpl w:val="8A1E3FF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nsid w:val="12F317AD"/>
    <w:multiLevelType w:val="hybridMultilevel"/>
    <w:tmpl w:val="56F0BDCC"/>
    <w:lvl w:ilvl="0" w:tplc="2D2401D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12608A"/>
    <w:multiLevelType w:val="hybridMultilevel"/>
    <w:tmpl w:val="128038D2"/>
    <w:lvl w:ilvl="0" w:tplc="0409000F">
      <w:start w:val="1"/>
      <w:numFmt w:val="decimal"/>
      <w:lvlText w:val="%1."/>
      <w:lvlJc w:val="left"/>
      <w:pPr>
        <w:ind w:left="720" w:hanging="360"/>
      </w:pPr>
      <w:rPr>
        <w:rFonts w:hint="default"/>
      </w:rPr>
    </w:lvl>
    <w:lvl w:ilvl="1" w:tplc="F5BE38A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4331B83"/>
    <w:multiLevelType w:val="hybridMultilevel"/>
    <w:tmpl w:val="2E8C17D0"/>
    <w:lvl w:ilvl="0" w:tplc="9B8845C2">
      <w:start w:val="1"/>
      <w:numFmt w:val="decimal"/>
      <w:lvlText w:val="(%1)"/>
      <w:lvlJc w:val="left"/>
      <w:pPr>
        <w:ind w:left="1114" w:hanging="634"/>
      </w:pPr>
      <w:rPr>
        <w:rFonts w:ascii="Times New Roman" w:eastAsia="Times New Roman" w:hAnsi="Times New Roman" w:cs="Times New Roman" w:hint="default"/>
        <w:i w:val="0"/>
        <w:w w:val="100"/>
        <w:sz w:val="22"/>
        <w:szCs w:val="22"/>
      </w:rPr>
    </w:lvl>
    <w:lvl w:ilvl="1" w:tplc="5E22B8DC">
      <w:start w:val="1"/>
      <w:numFmt w:val="lowerLetter"/>
      <w:lvlText w:val="(%2)"/>
      <w:lvlJc w:val="left"/>
      <w:pPr>
        <w:ind w:left="2364" w:hanging="1252"/>
      </w:pPr>
      <w:rPr>
        <w:rFonts w:ascii="Times New Roman" w:eastAsia="Times New Roman" w:hAnsi="Times New Roman" w:cs="Times New Roman" w:hint="default"/>
        <w:i/>
        <w:spacing w:val="-2"/>
        <w:w w:val="100"/>
        <w:sz w:val="22"/>
        <w:szCs w:val="22"/>
      </w:rPr>
    </w:lvl>
    <w:lvl w:ilvl="2" w:tplc="8758D202">
      <w:start w:val="1"/>
      <w:numFmt w:val="lowerRoman"/>
      <w:lvlText w:val="(%3)"/>
      <w:lvlJc w:val="left"/>
      <w:pPr>
        <w:ind w:left="3687" w:hanging="1323"/>
      </w:pPr>
      <w:rPr>
        <w:rFonts w:ascii="Times New Roman" w:eastAsia="Times New Roman" w:hAnsi="Times New Roman" w:cs="Times New Roman" w:hint="default"/>
        <w:i/>
        <w:spacing w:val="-2"/>
        <w:w w:val="100"/>
        <w:sz w:val="22"/>
        <w:szCs w:val="22"/>
      </w:rPr>
    </w:lvl>
    <w:lvl w:ilvl="3" w:tplc="42540F18">
      <w:numFmt w:val="bullet"/>
      <w:lvlText w:val="•"/>
      <w:lvlJc w:val="left"/>
      <w:pPr>
        <w:ind w:left="3720" w:hanging="1323"/>
      </w:pPr>
      <w:rPr>
        <w:rFonts w:hint="default"/>
      </w:rPr>
    </w:lvl>
    <w:lvl w:ilvl="4" w:tplc="55FC257E">
      <w:numFmt w:val="bullet"/>
      <w:lvlText w:val="•"/>
      <w:lvlJc w:val="left"/>
      <w:pPr>
        <w:ind w:left="4640" w:hanging="1323"/>
      </w:pPr>
      <w:rPr>
        <w:rFonts w:hint="default"/>
      </w:rPr>
    </w:lvl>
    <w:lvl w:ilvl="5" w:tplc="DFF675E0">
      <w:numFmt w:val="bullet"/>
      <w:lvlText w:val="•"/>
      <w:lvlJc w:val="left"/>
      <w:pPr>
        <w:ind w:left="5560" w:hanging="1323"/>
      </w:pPr>
      <w:rPr>
        <w:rFonts w:hint="default"/>
      </w:rPr>
    </w:lvl>
    <w:lvl w:ilvl="6" w:tplc="726C2A96">
      <w:numFmt w:val="bullet"/>
      <w:lvlText w:val="•"/>
      <w:lvlJc w:val="left"/>
      <w:pPr>
        <w:ind w:left="6480" w:hanging="1323"/>
      </w:pPr>
      <w:rPr>
        <w:rFonts w:hint="default"/>
      </w:rPr>
    </w:lvl>
    <w:lvl w:ilvl="7" w:tplc="0144FFD4">
      <w:numFmt w:val="bullet"/>
      <w:lvlText w:val="•"/>
      <w:lvlJc w:val="left"/>
      <w:pPr>
        <w:ind w:left="7400" w:hanging="1323"/>
      </w:pPr>
      <w:rPr>
        <w:rFonts w:hint="default"/>
      </w:rPr>
    </w:lvl>
    <w:lvl w:ilvl="8" w:tplc="F1FC0F22">
      <w:numFmt w:val="bullet"/>
      <w:lvlText w:val="•"/>
      <w:lvlJc w:val="left"/>
      <w:pPr>
        <w:ind w:left="8320" w:hanging="1323"/>
      </w:pPr>
      <w:rPr>
        <w:rFonts w:hint="default"/>
      </w:rPr>
    </w:lvl>
  </w:abstractNum>
  <w:abstractNum w:abstractNumId="16">
    <w:nsid w:val="17914955"/>
    <w:multiLevelType w:val="multilevel"/>
    <w:tmpl w:val="F9688E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194E7F85"/>
    <w:multiLevelType w:val="multilevel"/>
    <w:tmpl w:val="C5C0F4A0"/>
    <w:lvl w:ilvl="0">
      <w:start w:val="8"/>
      <w:numFmt w:val="decimal"/>
      <w:lvlText w:val="%1"/>
      <w:lvlJc w:val="left"/>
      <w:pPr>
        <w:ind w:left="440" w:hanging="440"/>
      </w:pPr>
      <w:rPr>
        <w:rFonts w:hint="default"/>
      </w:rPr>
    </w:lvl>
    <w:lvl w:ilvl="1">
      <w:start w:val="2"/>
      <w:numFmt w:val="decimal"/>
      <w:lvlText w:val="%1.%2"/>
      <w:lvlJc w:val="left"/>
      <w:pPr>
        <w:ind w:left="620" w:hanging="4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8">
    <w:nsid w:val="19D41B51"/>
    <w:multiLevelType w:val="hybridMultilevel"/>
    <w:tmpl w:val="42CA9D6A"/>
    <w:lvl w:ilvl="0" w:tplc="04130001">
      <w:start w:val="1"/>
      <w:numFmt w:val="bullet"/>
      <w:lvlText w:val=""/>
      <w:lvlJc w:val="left"/>
      <w:pPr>
        <w:ind w:left="3504" w:hanging="360"/>
      </w:pPr>
      <w:rPr>
        <w:rFonts w:ascii="Symbol" w:hAnsi="Symbol" w:hint="default"/>
      </w:rPr>
    </w:lvl>
    <w:lvl w:ilvl="1" w:tplc="04130003" w:tentative="1">
      <w:start w:val="1"/>
      <w:numFmt w:val="bullet"/>
      <w:lvlText w:val="o"/>
      <w:lvlJc w:val="left"/>
      <w:pPr>
        <w:ind w:left="4224" w:hanging="360"/>
      </w:pPr>
      <w:rPr>
        <w:rFonts w:ascii="Courier New" w:hAnsi="Courier New" w:cs="Courier New" w:hint="default"/>
      </w:rPr>
    </w:lvl>
    <w:lvl w:ilvl="2" w:tplc="04130005" w:tentative="1">
      <w:start w:val="1"/>
      <w:numFmt w:val="bullet"/>
      <w:lvlText w:val=""/>
      <w:lvlJc w:val="left"/>
      <w:pPr>
        <w:ind w:left="4944" w:hanging="360"/>
      </w:pPr>
      <w:rPr>
        <w:rFonts w:ascii="Wingdings" w:hAnsi="Wingdings" w:hint="default"/>
      </w:rPr>
    </w:lvl>
    <w:lvl w:ilvl="3" w:tplc="04130001" w:tentative="1">
      <w:start w:val="1"/>
      <w:numFmt w:val="bullet"/>
      <w:lvlText w:val=""/>
      <w:lvlJc w:val="left"/>
      <w:pPr>
        <w:ind w:left="5664" w:hanging="360"/>
      </w:pPr>
      <w:rPr>
        <w:rFonts w:ascii="Symbol" w:hAnsi="Symbol" w:hint="default"/>
      </w:rPr>
    </w:lvl>
    <w:lvl w:ilvl="4" w:tplc="04130003" w:tentative="1">
      <w:start w:val="1"/>
      <w:numFmt w:val="bullet"/>
      <w:lvlText w:val="o"/>
      <w:lvlJc w:val="left"/>
      <w:pPr>
        <w:ind w:left="6384" w:hanging="360"/>
      </w:pPr>
      <w:rPr>
        <w:rFonts w:ascii="Courier New" w:hAnsi="Courier New" w:cs="Courier New" w:hint="default"/>
      </w:rPr>
    </w:lvl>
    <w:lvl w:ilvl="5" w:tplc="04130005" w:tentative="1">
      <w:start w:val="1"/>
      <w:numFmt w:val="bullet"/>
      <w:lvlText w:val=""/>
      <w:lvlJc w:val="left"/>
      <w:pPr>
        <w:ind w:left="7104" w:hanging="360"/>
      </w:pPr>
      <w:rPr>
        <w:rFonts w:ascii="Wingdings" w:hAnsi="Wingdings" w:hint="default"/>
      </w:rPr>
    </w:lvl>
    <w:lvl w:ilvl="6" w:tplc="04130001" w:tentative="1">
      <w:start w:val="1"/>
      <w:numFmt w:val="bullet"/>
      <w:lvlText w:val=""/>
      <w:lvlJc w:val="left"/>
      <w:pPr>
        <w:ind w:left="7824" w:hanging="360"/>
      </w:pPr>
      <w:rPr>
        <w:rFonts w:ascii="Symbol" w:hAnsi="Symbol" w:hint="default"/>
      </w:rPr>
    </w:lvl>
    <w:lvl w:ilvl="7" w:tplc="04130003" w:tentative="1">
      <w:start w:val="1"/>
      <w:numFmt w:val="bullet"/>
      <w:lvlText w:val="o"/>
      <w:lvlJc w:val="left"/>
      <w:pPr>
        <w:ind w:left="8544" w:hanging="360"/>
      </w:pPr>
      <w:rPr>
        <w:rFonts w:ascii="Courier New" w:hAnsi="Courier New" w:cs="Courier New" w:hint="default"/>
      </w:rPr>
    </w:lvl>
    <w:lvl w:ilvl="8" w:tplc="04130005" w:tentative="1">
      <w:start w:val="1"/>
      <w:numFmt w:val="bullet"/>
      <w:lvlText w:val=""/>
      <w:lvlJc w:val="left"/>
      <w:pPr>
        <w:ind w:left="9264" w:hanging="360"/>
      </w:pPr>
      <w:rPr>
        <w:rFonts w:ascii="Wingdings" w:hAnsi="Wingdings" w:hint="default"/>
      </w:rPr>
    </w:lvl>
  </w:abstractNum>
  <w:abstractNum w:abstractNumId="19">
    <w:nsid w:val="20633AF2"/>
    <w:multiLevelType w:val="hybridMultilevel"/>
    <w:tmpl w:val="1AE63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A93D00"/>
    <w:multiLevelType w:val="hybridMultilevel"/>
    <w:tmpl w:val="350C81A8"/>
    <w:lvl w:ilvl="0" w:tplc="0409000F">
      <w:start w:val="1"/>
      <w:numFmt w:val="decimal"/>
      <w:lvlText w:val="%1."/>
      <w:lvlJc w:val="left"/>
      <w:pPr>
        <w:ind w:left="720" w:hanging="360"/>
      </w:pPr>
      <w:rPr>
        <w:rFonts w:hint="default"/>
      </w:rPr>
    </w:lvl>
    <w:lvl w:ilvl="1" w:tplc="F5BE38A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5032ADC"/>
    <w:multiLevelType w:val="hybridMultilevel"/>
    <w:tmpl w:val="0C9050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25130B2B"/>
    <w:multiLevelType w:val="hybridMultilevel"/>
    <w:tmpl w:val="D45C814A"/>
    <w:lvl w:ilvl="0" w:tplc="B3D21292">
      <w:start w:val="4"/>
      <w:numFmt w:val="lowerLetter"/>
      <w:lvlText w:val="%1."/>
      <w:lvlJc w:val="left"/>
      <w:pPr>
        <w:ind w:left="1770" w:hanging="360"/>
      </w:pPr>
      <w:rPr>
        <w:rFonts w:hint="default"/>
      </w:rPr>
    </w:lvl>
    <w:lvl w:ilvl="1" w:tplc="04080019" w:tentative="1">
      <w:start w:val="1"/>
      <w:numFmt w:val="lowerLetter"/>
      <w:lvlText w:val="%2."/>
      <w:lvlJc w:val="left"/>
      <w:pPr>
        <w:ind w:left="2490" w:hanging="360"/>
      </w:pPr>
    </w:lvl>
    <w:lvl w:ilvl="2" w:tplc="0408001B" w:tentative="1">
      <w:start w:val="1"/>
      <w:numFmt w:val="lowerRoman"/>
      <w:lvlText w:val="%3."/>
      <w:lvlJc w:val="right"/>
      <w:pPr>
        <w:ind w:left="3210" w:hanging="180"/>
      </w:pPr>
    </w:lvl>
    <w:lvl w:ilvl="3" w:tplc="0408000F" w:tentative="1">
      <w:start w:val="1"/>
      <w:numFmt w:val="decimal"/>
      <w:lvlText w:val="%4."/>
      <w:lvlJc w:val="left"/>
      <w:pPr>
        <w:ind w:left="3930" w:hanging="360"/>
      </w:pPr>
    </w:lvl>
    <w:lvl w:ilvl="4" w:tplc="04080019" w:tentative="1">
      <w:start w:val="1"/>
      <w:numFmt w:val="lowerLetter"/>
      <w:lvlText w:val="%5."/>
      <w:lvlJc w:val="left"/>
      <w:pPr>
        <w:ind w:left="4650" w:hanging="360"/>
      </w:pPr>
    </w:lvl>
    <w:lvl w:ilvl="5" w:tplc="0408001B" w:tentative="1">
      <w:start w:val="1"/>
      <w:numFmt w:val="lowerRoman"/>
      <w:lvlText w:val="%6."/>
      <w:lvlJc w:val="right"/>
      <w:pPr>
        <w:ind w:left="5370" w:hanging="180"/>
      </w:pPr>
    </w:lvl>
    <w:lvl w:ilvl="6" w:tplc="0408000F" w:tentative="1">
      <w:start w:val="1"/>
      <w:numFmt w:val="decimal"/>
      <w:lvlText w:val="%7."/>
      <w:lvlJc w:val="left"/>
      <w:pPr>
        <w:ind w:left="6090" w:hanging="360"/>
      </w:pPr>
    </w:lvl>
    <w:lvl w:ilvl="7" w:tplc="04080019" w:tentative="1">
      <w:start w:val="1"/>
      <w:numFmt w:val="lowerLetter"/>
      <w:lvlText w:val="%8."/>
      <w:lvlJc w:val="left"/>
      <w:pPr>
        <w:ind w:left="6810" w:hanging="360"/>
      </w:pPr>
    </w:lvl>
    <w:lvl w:ilvl="8" w:tplc="0408001B" w:tentative="1">
      <w:start w:val="1"/>
      <w:numFmt w:val="lowerRoman"/>
      <w:lvlText w:val="%9."/>
      <w:lvlJc w:val="right"/>
      <w:pPr>
        <w:ind w:left="7530" w:hanging="180"/>
      </w:pPr>
    </w:lvl>
  </w:abstractNum>
  <w:abstractNum w:abstractNumId="23">
    <w:nsid w:val="267B66E9"/>
    <w:multiLevelType w:val="multilevel"/>
    <w:tmpl w:val="169CC5E8"/>
    <w:styleLink w:val="XXXtextbullets"/>
    <w:lvl w:ilvl="0">
      <w:start w:val="1"/>
      <w:numFmt w:val="bullet"/>
      <w:pStyle w:val="textbullets"/>
      <w:lvlText w:val="‒"/>
      <w:lvlJc w:val="left"/>
      <w:pPr>
        <w:ind w:left="397" w:hanging="397"/>
      </w:pPr>
      <w:rPr>
        <w:rFonts w:ascii="Calibri" w:hAnsi="Calibri" w:hint="default"/>
        <w:color w:val="auto"/>
      </w:rPr>
    </w:lvl>
    <w:lvl w:ilvl="1">
      <w:start w:val="1"/>
      <w:numFmt w:val="bullet"/>
      <w:lvlText w:val="‒"/>
      <w:lvlJc w:val="left"/>
      <w:pPr>
        <w:ind w:left="794" w:hanging="397"/>
      </w:pPr>
      <w:rPr>
        <w:rFonts w:ascii="Calibri" w:hAnsi="Calibri" w:hint="default"/>
        <w:color w:val="auto"/>
      </w:rPr>
    </w:lvl>
    <w:lvl w:ilvl="2">
      <w:start w:val="1"/>
      <w:numFmt w:val="bullet"/>
      <w:lvlText w:val="‒"/>
      <w:lvlJc w:val="left"/>
      <w:pPr>
        <w:ind w:left="1191" w:hanging="397"/>
      </w:pPr>
      <w:rPr>
        <w:rFonts w:ascii="Calibri" w:hAnsi="Calibri" w:hint="default"/>
        <w:color w:val="auto"/>
      </w:rPr>
    </w:lvl>
    <w:lvl w:ilvl="3">
      <w:start w:val="1"/>
      <w:numFmt w:val="bullet"/>
      <w:lvlText w:val="‒"/>
      <w:lvlJc w:val="left"/>
      <w:pPr>
        <w:ind w:left="1588" w:hanging="397"/>
      </w:pPr>
      <w:rPr>
        <w:rFonts w:ascii="Calibri" w:hAnsi="Calibri" w:hint="default"/>
        <w:color w:val="auto"/>
      </w:rPr>
    </w:lvl>
    <w:lvl w:ilvl="4">
      <w:start w:val="1"/>
      <w:numFmt w:val="bullet"/>
      <w:lvlText w:val="‒"/>
      <w:lvlJc w:val="left"/>
      <w:pPr>
        <w:ind w:left="1985" w:hanging="397"/>
      </w:pPr>
      <w:rPr>
        <w:rFonts w:ascii="Calibri" w:hAnsi="Calibri" w:hint="default"/>
        <w:color w:val="auto"/>
      </w:rPr>
    </w:lvl>
    <w:lvl w:ilvl="5">
      <w:start w:val="1"/>
      <w:numFmt w:val="bullet"/>
      <w:lvlText w:val="‒"/>
      <w:lvlJc w:val="left"/>
      <w:pPr>
        <w:ind w:left="2325" w:hanging="340"/>
      </w:pPr>
      <w:rPr>
        <w:rFonts w:ascii="Calibri" w:hAnsi="Calibri" w:hint="default"/>
        <w:color w:val="auto"/>
      </w:rPr>
    </w:lvl>
    <w:lvl w:ilvl="6">
      <w:start w:val="1"/>
      <w:numFmt w:val="bullet"/>
      <w:lvlText w:val="‒"/>
      <w:lvlJc w:val="left"/>
      <w:pPr>
        <w:ind w:left="2722" w:hanging="397"/>
      </w:pPr>
      <w:rPr>
        <w:rFonts w:ascii="Calibri" w:hAnsi="Calibri" w:hint="default"/>
        <w:color w:val="auto"/>
      </w:rPr>
    </w:lvl>
    <w:lvl w:ilvl="7">
      <w:start w:val="1"/>
      <w:numFmt w:val="bullet"/>
      <w:lvlText w:val="‒"/>
      <w:lvlJc w:val="left"/>
      <w:pPr>
        <w:ind w:left="3119" w:hanging="397"/>
      </w:pPr>
      <w:rPr>
        <w:rFonts w:ascii="Calibri" w:hAnsi="Calibri" w:hint="default"/>
        <w:color w:val="auto"/>
      </w:rPr>
    </w:lvl>
    <w:lvl w:ilvl="8">
      <w:start w:val="1"/>
      <w:numFmt w:val="bullet"/>
      <w:lvlText w:val="‒"/>
      <w:lvlJc w:val="left"/>
      <w:pPr>
        <w:ind w:left="3459" w:hanging="340"/>
      </w:pPr>
      <w:rPr>
        <w:rFonts w:ascii="Calibri" w:hAnsi="Calibri" w:hint="default"/>
        <w:color w:val="auto"/>
      </w:rPr>
    </w:lvl>
  </w:abstractNum>
  <w:abstractNum w:abstractNumId="24">
    <w:nsid w:val="26B40F04"/>
    <w:multiLevelType w:val="hybridMultilevel"/>
    <w:tmpl w:val="6A1C2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97D5DE3"/>
    <w:multiLevelType w:val="hybridMultilevel"/>
    <w:tmpl w:val="4DC4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C380BC5"/>
    <w:multiLevelType w:val="hybridMultilevel"/>
    <w:tmpl w:val="977015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30294B58"/>
    <w:multiLevelType w:val="hybridMultilevel"/>
    <w:tmpl w:val="5C2EE576"/>
    <w:lvl w:ilvl="0" w:tplc="6DA4C8E2">
      <w:start w:val="1"/>
      <w:numFmt w:val="bullet"/>
      <w:lvlText w:val="•"/>
      <w:lvlJc w:val="left"/>
      <w:pPr>
        <w:tabs>
          <w:tab w:val="num" w:pos="720"/>
        </w:tabs>
        <w:ind w:left="720" w:hanging="360"/>
      </w:pPr>
      <w:rPr>
        <w:rFonts w:ascii="Arial" w:hAnsi="Arial" w:hint="default"/>
      </w:rPr>
    </w:lvl>
    <w:lvl w:ilvl="1" w:tplc="2B06D9E6" w:tentative="1">
      <w:start w:val="1"/>
      <w:numFmt w:val="bullet"/>
      <w:lvlText w:val="•"/>
      <w:lvlJc w:val="left"/>
      <w:pPr>
        <w:tabs>
          <w:tab w:val="num" w:pos="1440"/>
        </w:tabs>
        <w:ind w:left="1440" w:hanging="360"/>
      </w:pPr>
      <w:rPr>
        <w:rFonts w:ascii="Arial" w:hAnsi="Arial" w:hint="default"/>
      </w:rPr>
    </w:lvl>
    <w:lvl w:ilvl="2" w:tplc="D3A02CD2" w:tentative="1">
      <w:start w:val="1"/>
      <w:numFmt w:val="bullet"/>
      <w:lvlText w:val="•"/>
      <w:lvlJc w:val="left"/>
      <w:pPr>
        <w:tabs>
          <w:tab w:val="num" w:pos="2160"/>
        </w:tabs>
        <w:ind w:left="2160" w:hanging="360"/>
      </w:pPr>
      <w:rPr>
        <w:rFonts w:ascii="Arial" w:hAnsi="Arial" w:hint="default"/>
      </w:rPr>
    </w:lvl>
    <w:lvl w:ilvl="3" w:tplc="D82CD256" w:tentative="1">
      <w:start w:val="1"/>
      <w:numFmt w:val="bullet"/>
      <w:lvlText w:val="•"/>
      <w:lvlJc w:val="left"/>
      <w:pPr>
        <w:tabs>
          <w:tab w:val="num" w:pos="2880"/>
        </w:tabs>
        <w:ind w:left="2880" w:hanging="360"/>
      </w:pPr>
      <w:rPr>
        <w:rFonts w:ascii="Arial" w:hAnsi="Arial" w:hint="default"/>
      </w:rPr>
    </w:lvl>
    <w:lvl w:ilvl="4" w:tplc="B0146432" w:tentative="1">
      <w:start w:val="1"/>
      <w:numFmt w:val="bullet"/>
      <w:lvlText w:val="•"/>
      <w:lvlJc w:val="left"/>
      <w:pPr>
        <w:tabs>
          <w:tab w:val="num" w:pos="3600"/>
        </w:tabs>
        <w:ind w:left="3600" w:hanging="360"/>
      </w:pPr>
      <w:rPr>
        <w:rFonts w:ascii="Arial" w:hAnsi="Arial" w:hint="default"/>
      </w:rPr>
    </w:lvl>
    <w:lvl w:ilvl="5" w:tplc="52F27250" w:tentative="1">
      <w:start w:val="1"/>
      <w:numFmt w:val="bullet"/>
      <w:lvlText w:val="•"/>
      <w:lvlJc w:val="left"/>
      <w:pPr>
        <w:tabs>
          <w:tab w:val="num" w:pos="4320"/>
        </w:tabs>
        <w:ind w:left="4320" w:hanging="360"/>
      </w:pPr>
      <w:rPr>
        <w:rFonts w:ascii="Arial" w:hAnsi="Arial" w:hint="default"/>
      </w:rPr>
    </w:lvl>
    <w:lvl w:ilvl="6" w:tplc="EC56453C" w:tentative="1">
      <w:start w:val="1"/>
      <w:numFmt w:val="bullet"/>
      <w:lvlText w:val="•"/>
      <w:lvlJc w:val="left"/>
      <w:pPr>
        <w:tabs>
          <w:tab w:val="num" w:pos="5040"/>
        </w:tabs>
        <w:ind w:left="5040" w:hanging="360"/>
      </w:pPr>
      <w:rPr>
        <w:rFonts w:ascii="Arial" w:hAnsi="Arial" w:hint="default"/>
      </w:rPr>
    </w:lvl>
    <w:lvl w:ilvl="7" w:tplc="86D06038" w:tentative="1">
      <w:start w:val="1"/>
      <w:numFmt w:val="bullet"/>
      <w:lvlText w:val="•"/>
      <w:lvlJc w:val="left"/>
      <w:pPr>
        <w:tabs>
          <w:tab w:val="num" w:pos="5760"/>
        </w:tabs>
        <w:ind w:left="5760" w:hanging="360"/>
      </w:pPr>
      <w:rPr>
        <w:rFonts w:ascii="Arial" w:hAnsi="Arial" w:hint="default"/>
      </w:rPr>
    </w:lvl>
    <w:lvl w:ilvl="8" w:tplc="E056C2D6" w:tentative="1">
      <w:start w:val="1"/>
      <w:numFmt w:val="bullet"/>
      <w:lvlText w:val="•"/>
      <w:lvlJc w:val="left"/>
      <w:pPr>
        <w:tabs>
          <w:tab w:val="num" w:pos="6480"/>
        </w:tabs>
        <w:ind w:left="6480" w:hanging="360"/>
      </w:pPr>
      <w:rPr>
        <w:rFonts w:ascii="Arial" w:hAnsi="Arial" w:hint="default"/>
      </w:rPr>
    </w:lvl>
  </w:abstractNum>
  <w:abstractNum w:abstractNumId="28">
    <w:nsid w:val="334A5CB0"/>
    <w:multiLevelType w:val="hybridMultilevel"/>
    <w:tmpl w:val="3D5A07B2"/>
    <w:lvl w:ilvl="0" w:tplc="4156DF98">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5222538"/>
    <w:multiLevelType w:val="hybridMultilevel"/>
    <w:tmpl w:val="108C17AA"/>
    <w:lvl w:ilvl="0" w:tplc="44CC9488">
      <w:start w:val="1"/>
      <w:numFmt w:val="bullet"/>
      <w:lvlText w:val=""/>
      <w:lvlJc w:val="left"/>
      <w:pPr>
        <w:ind w:left="720" w:hanging="360"/>
      </w:pPr>
      <w:rPr>
        <w:rFonts w:ascii="Symbol" w:hAnsi="Symbol" w:hint="default"/>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3635553E"/>
    <w:multiLevelType w:val="hybridMultilevel"/>
    <w:tmpl w:val="04EC2B96"/>
    <w:lvl w:ilvl="0" w:tplc="49325F0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73E0FB2"/>
    <w:multiLevelType w:val="hybridMultilevel"/>
    <w:tmpl w:val="38B49C28"/>
    <w:lvl w:ilvl="0" w:tplc="DDB4D274">
      <w:start w:val="1"/>
      <w:numFmt w:val="decimal"/>
      <w:pStyle w:val="Body"/>
      <w:lvlText w:val="%1."/>
      <w:lvlJc w:val="left"/>
      <w:pPr>
        <w:ind w:left="1068" w:hanging="360"/>
      </w:pPr>
      <w:rPr>
        <w:rFonts w:hint="default"/>
      </w:rPr>
    </w:lvl>
    <w:lvl w:ilvl="1" w:tplc="04090017">
      <w:start w:val="1"/>
      <w:numFmt w:val="lowerLetter"/>
      <w:lvlText w:val="%2)"/>
      <w:lvlJc w:val="left"/>
      <w:pPr>
        <w:ind w:left="1788" w:hanging="360"/>
      </w:pPr>
    </w:lvl>
    <w:lvl w:ilvl="2" w:tplc="0809001B">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2">
    <w:nsid w:val="37FB505F"/>
    <w:multiLevelType w:val="hybridMultilevel"/>
    <w:tmpl w:val="FA7874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38113180"/>
    <w:multiLevelType w:val="hybridMultilevel"/>
    <w:tmpl w:val="569AB79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3ABE55C5"/>
    <w:multiLevelType w:val="hybridMultilevel"/>
    <w:tmpl w:val="68281F66"/>
    <w:lvl w:ilvl="0" w:tplc="9DF43BDA">
      <w:start w:val="1"/>
      <w:numFmt w:val="decimal"/>
      <w:lvlText w:val="%1."/>
      <w:lvlJc w:val="left"/>
      <w:pPr>
        <w:tabs>
          <w:tab w:val="num" w:pos="360"/>
        </w:tabs>
        <w:ind w:left="360" w:hanging="360"/>
      </w:pPr>
    </w:lvl>
    <w:lvl w:ilvl="1" w:tplc="5C50CACC">
      <w:start w:val="1"/>
      <w:numFmt w:val="lowerLetter"/>
      <w:lvlText w:val="(%2)"/>
      <w:lvlJc w:val="left"/>
      <w:pPr>
        <w:ind w:left="1080" w:hanging="360"/>
      </w:pPr>
      <w:rPr>
        <w:rFonts w:hint="default"/>
      </w:rPr>
    </w:lvl>
    <w:lvl w:ilvl="2" w:tplc="9CD8819E" w:tentative="1">
      <w:start w:val="1"/>
      <w:numFmt w:val="decimal"/>
      <w:lvlText w:val="%3."/>
      <w:lvlJc w:val="left"/>
      <w:pPr>
        <w:tabs>
          <w:tab w:val="num" w:pos="1800"/>
        </w:tabs>
        <w:ind w:left="1800" w:hanging="360"/>
      </w:pPr>
    </w:lvl>
    <w:lvl w:ilvl="3" w:tplc="19A88906" w:tentative="1">
      <w:start w:val="1"/>
      <w:numFmt w:val="decimal"/>
      <w:lvlText w:val="%4."/>
      <w:lvlJc w:val="left"/>
      <w:pPr>
        <w:tabs>
          <w:tab w:val="num" w:pos="2520"/>
        </w:tabs>
        <w:ind w:left="2520" w:hanging="360"/>
      </w:pPr>
    </w:lvl>
    <w:lvl w:ilvl="4" w:tplc="31C80B1C" w:tentative="1">
      <w:start w:val="1"/>
      <w:numFmt w:val="decimal"/>
      <w:lvlText w:val="%5."/>
      <w:lvlJc w:val="left"/>
      <w:pPr>
        <w:tabs>
          <w:tab w:val="num" w:pos="3240"/>
        </w:tabs>
        <w:ind w:left="3240" w:hanging="360"/>
      </w:pPr>
    </w:lvl>
    <w:lvl w:ilvl="5" w:tplc="796E1070" w:tentative="1">
      <w:start w:val="1"/>
      <w:numFmt w:val="decimal"/>
      <w:lvlText w:val="%6."/>
      <w:lvlJc w:val="left"/>
      <w:pPr>
        <w:tabs>
          <w:tab w:val="num" w:pos="3960"/>
        </w:tabs>
        <w:ind w:left="3960" w:hanging="360"/>
      </w:pPr>
    </w:lvl>
    <w:lvl w:ilvl="6" w:tplc="EDCC3C88" w:tentative="1">
      <w:start w:val="1"/>
      <w:numFmt w:val="decimal"/>
      <w:lvlText w:val="%7."/>
      <w:lvlJc w:val="left"/>
      <w:pPr>
        <w:tabs>
          <w:tab w:val="num" w:pos="4680"/>
        </w:tabs>
        <w:ind w:left="4680" w:hanging="360"/>
      </w:pPr>
    </w:lvl>
    <w:lvl w:ilvl="7" w:tplc="C02E5706" w:tentative="1">
      <w:start w:val="1"/>
      <w:numFmt w:val="decimal"/>
      <w:lvlText w:val="%8."/>
      <w:lvlJc w:val="left"/>
      <w:pPr>
        <w:tabs>
          <w:tab w:val="num" w:pos="5400"/>
        </w:tabs>
        <w:ind w:left="5400" w:hanging="360"/>
      </w:pPr>
    </w:lvl>
    <w:lvl w:ilvl="8" w:tplc="F596FD48" w:tentative="1">
      <w:start w:val="1"/>
      <w:numFmt w:val="decimal"/>
      <w:lvlText w:val="%9."/>
      <w:lvlJc w:val="left"/>
      <w:pPr>
        <w:tabs>
          <w:tab w:val="num" w:pos="6120"/>
        </w:tabs>
        <w:ind w:left="6120" w:hanging="360"/>
      </w:pPr>
    </w:lvl>
  </w:abstractNum>
  <w:abstractNum w:abstractNumId="35">
    <w:nsid w:val="3BD21B1C"/>
    <w:multiLevelType w:val="hybridMultilevel"/>
    <w:tmpl w:val="A37C58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40170461"/>
    <w:multiLevelType w:val="hybridMultilevel"/>
    <w:tmpl w:val="D3342A6A"/>
    <w:lvl w:ilvl="0" w:tplc="87C2B178">
      <w:start w:val="1"/>
      <w:numFmt w:val="upperLetter"/>
      <w:lvlText w:val="%1."/>
      <w:lvlJc w:val="left"/>
      <w:pPr>
        <w:ind w:left="1770" w:hanging="360"/>
      </w:pPr>
      <w:rPr>
        <w:rFonts w:hint="default"/>
      </w:rPr>
    </w:lvl>
    <w:lvl w:ilvl="1" w:tplc="04080019" w:tentative="1">
      <w:start w:val="1"/>
      <w:numFmt w:val="lowerLetter"/>
      <w:lvlText w:val="%2."/>
      <w:lvlJc w:val="left"/>
      <w:pPr>
        <w:ind w:left="2490" w:hanging="360"/>
      </w:pPr>
    </w:lvl>
    <w:lvl w:ilvl="2" w:tplc="0408001B" w:tentative="1">
      <w:start w:val="1"/>
      <w:numFmt w:val="lowerRoman"/>
      <w:lvlText w:val="%3."/>
      <w:lvlJc w:val="right"/>
      <w:pPr>
        <w:ind w:left="3210" w:hanging="180"/>
      </w:pPr>
    </w:lvl>
    <w:lvl w:ilvl="3" w:tplc="0408000F" w:tentative="1">
      <w:start w:val="1"/>
      <w:numFmt w:val="decimal"/>
      <w:lvlText w:val="%4."/>
      <w:lvlJc w:val="left"/>
      <w:pPr>
        <w:ind w:left="3930" w:hanging="360"/>
      </w:pPr>
    </w:lvl>
    <w:lvl w:ilvl="4" w:tplc="04080019" w:tentative="1">
      <w:start w:val="1"/>
      <w:numFmt w:val="lowerLetter"/>
      <w:lvlText w:val="%5."/>
      <w:lvlJc w:val="left"/>
      <w:pPr>
        <w:ind w:left="4650" w:hanging="360"/>
      </w:pPr>
    </w:lvl>
    <w:lvl w:ilvl="5" w:tplc="0408001B" w:tentative="1">
      <w:start w:val="1"/>
      <w:numFmt w:val="lowerRoman"/>
      <w:lvlText w:val="%6."/>
      <w:lvlJc w:val="right"/>
      <w:pPr>
        <w:ind w:left="5370" w:hanging="180"/>
      </w:pPr>
    </w:lvl>
    <w:lvl w:ilvl="6" w:tplc="0408000F" w:tentative="1">
      <w:start w:val="1"/>
      <w:numFmt w:val="decimal"/>
      <w:lvlText w:val="%7."/>
      <w:lvlJc w:val="left"/>
      <w:pPr>
        <w:ind w:left="6090" w:hanging="360"/>
      </w:pPr>
    </w:lvl>
    <w:lvl w:ilvl="7" w:tplc="04080019" w:tentative="1">
      <w:start w:val="1"/>
      <w:numFmt w:val="lowerLetter"/>
      <w:lvlText w:val="%8."/>
      <w:lvlJc w:val="left"/>
      <w:pPr>
        <w:ind w:left="6810" w:hanging="360"/>
      </w:pPr>
    </w:lvl>
    <w:lvl w:ilvl="8" w:tplc="0408001B" w:tentative="1">
      <w:start w:val="1"/>
      <w:numFmt w:val="lowerRoman"/>
      <w:lvlText w:val="%9."/>
      <w:lvlJc w:val="right"/>
      <w:pPr>
        <w:ind w:left="7530" w:hanging="180"/>
      </w:pPr>
    </w:lvl>
  </w:abstractNum>
  <w:abstractNum w:abstractNumId="37">
    <w:nsid w:val="41255E8C"/>
    <w:multiLevelType w:val="hybridMultilevel"/>
    <w:tmpl w:val="AED49E60"/>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4189603E"/>
    <w:multiLevelType w:val="multilevel"/>
    <w:tmpl w:val="3CB6A4C6"/>
    <w:lvl w:ilvl="0">
      <w:start w:val="1"/>
      <w:numFmt w:val="decimal"/>
      <w:lvlText w:val="%1."/>
      <w:lvlJc w:val="left"/>
      <w:pPr>
        <w:ind w:left="360" w:hanging="360"/>
      </w:pPr>
      <w:rPr>
        <w:rFonts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left="0"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39">
    <w:nsid w:val="432D6719"/>
    <w:multiLevelType w:val="hybridMultilevel"/>
    <w:tmpl w:val="7110F9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4379369F"/>
    <w:multiLevelType w:val="multilevel"/>
    <w:tmpl w:val="73D426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44B465B0"/>
    <w:multiLevelType w:val="hybridMultilevel"/>
    <w:tmpl w:val="0BAE5632"/>
    <w:lvl w:ilvl="0" w:tplc="C218896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B4D1918"/>
    <w:multiLevelType w:val="hybridMultilevel"/>
    <w:tmpl w:val="D910D1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B5A76DD"/>
    <w:multiLevelType w:val="hybridMultilevel"/>
    <w:tmpl w:val="AA7012E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nsid w:val="4D5C78EE"/>
    <w:multiLevelType w:val="multilevel"/>
    <w:tmpl w:val="0E80C546"/>
    <w:styleLink w:val="XXXNummerierung"/>
    <w:lvl w:ilvl="0">
      <w:start w:val="1"/>
      <w:numFmt w:val="decimal"/>
      <w:pStyle w:val="textenumeration"/>
      <w:lvlText w:val="%1."/>
      <w:lvlJc w:val="left"/>
      <w:pPr>
        <w:ind w:left="357" w:hanging="357"/>
      </w:pPr>
      <w:rPr>
        <w:rFonts w:ascii="Times New Roman" w:hAnsi="Times New Roman" w:hint="default"/>
        <w:sz w:val="2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5">
    <w:nsid w:val="507262EF"/>
    <w:multiLevelType w:val="hybridMultilevel"/>
    <w:tmpl w:val="87EE5F8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nsid w:val="5515562F"/>
    <w:multiLevelType w:val="hybridMultilevel"/>
    <w:tmpl w:val="04CC7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581F5E7F"/>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5831072C"/>
    <w:multiLevelType w:val="hybridMultilevel"/>
    <w:tmpl w:val="8534B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B506233"/>
    <w:multiLevelType w:val="multilevel"/>
    <w:tmpl w:val="57501816"/>
    <w:lvl w:ilvl="0">
      <w:start w:val="1"/>
      <w:numFmt w:val="decimal"/>
      <w:lvlText w:val="%1."/>
      <w:lvlJc w:val="left"/>
      <w:pPr>
        <w:ind w:left="720" w:hanging="360"/>
      </w:pPr>
    </w:lvl>
    <w:lvl w:ilvl="1">
      <w:start w:val="1"/>
      <w:numFmt w:val="decimal"/>
      <w:isLgl/>
      <w:lvlText w:val="%1.%2"/>
      <w:lvlJc w:val="left"/>
      <w:pPr>
        <w:ind w:left="1080" w:hanging="360"/>
      </w:pPr>
      <w:rPr>
        <w:rFonts w:ascii="Times New Roman" w:hAnsi="Times New Roman" w:cs="Times New Roman" w:hint="default"/>
        <w:b/>
      </w:rPr>
    </w:lvl>
    <w:lvl w:ilvl="2">
      <w:start w:val="1"/>
      <w:numFmt w:val="decimal"/>
      <w:isLgl/>
      <w:lvlText w:val="%1.%2.%3"/>
      <w:lvlJc w:val="left"/>
      <w:pPr>
        <w:ind w:left="1800" w:hanging="720"/>
      </w:pPr>
      <w:rPr>
        <w:rFonts w:ascii="Times New Roman" w:hAnsi="Times New Roman" w:cs="Times New Roman"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0">
    <w:nsid w:val="5D4A3354"/>
    <w:multiLevelType w:val="multilevel"/>
    <w:tmpl w:val="0809001F"/>
    <w:styleLink w:val="XXXList"/>
    <w:lvl w:ilvl="0">
      <w:start w:val="1"/>
      <w:numFmt w:val="decimal"/>
      <w:lvlText w:val="%1."/>
      <w:lvlJc w:val="left"/>
      <w:pPr>
        <w:ind w:left="360" w:hanging="360"/>
      </w:pPr>
      <w:rPr>
        <w:rFonts w:hint="default"/>
        <w:b/>
        <w:i w:val="0"/>
        <w:color w:val="23236E" w:themeColor="text2"/>
        <w:sz w:val="28"/>
        <w:u w:color="23236E" w:themeColor="text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b/>
        <w:i w:val="0"/>
        <w:color w:val="23236E" w:themeColor="text2"/>
        <w:sz w:val="28"/>
        <w:u w:color="23236E" w:themeColor="text2"/>
      </w:rPr>
    </w:lvl>
  </w:abstractNum>
  <w:abstractNum w:abstractNumId="51">
    <w:nsid w:val="5EF63C7D"/>
    <w:multiLevelType w:val="multilevel"/>
    <w:tmpl w:val="F9A00892"/>
    <w:styleLink w:val="XXXBulletList"/>
    <w:lvl w:ilvl="0">
      <w:start w:val="1"/>
      <w:numFmt w:val="bullet"/>
      <w:pStyle w:val="decisionbullet1"/>
      <w:lvlText w:val="‒"/>
      <w:lvlJc w:val="left"/>
      <w:pPr>
        <w:ind w:left="357" w:hanging="357"/>
      </w:pPr>
      <w:rPr>
        <w:rFonts w:ascii="Calibri" w:hAnsi="Calibri" w:hint="default"/>
        <w:color w:val="auto"/>
        <w:sz w:val="22"/>
      </w:rPr>
    </w:lvl>
    <w:lvl w:ilvl="1">
      <w:start w:val="1"/>
      <w:numFmt w:val="bullet"/>
      <w:pStyle w:val="decisionbullet2"/>
      <w:lvlText w:val="‒"/>
      <w:lvlJc w:val="left"/>
      <w:pPr>
        <w:ind w:left="374" w:hanging="17"/>
      </w:pPr>
      <w:rPr>
        <w:rFonts w:ascii="Times New Roman" w:hAnsi="Times New Roman" w:cs="Times New Roman" w:hint="default"/>
        <w:color w:val="auto"/>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2">
    <w:nsid w:val="606849C2"/>
    <w:multiLevelType w:val="hybridMultilevel"/>
    <w:tmpl w:val="350C81A8"/>
    <w:lvl w:ilvl="0" w:tplc="0409000F">
      <w:start w:val="1"/>
      <w:numFmt w:val="decimal"/>
      <w:lvlText w:val="%1."/>
      <w:lvlJc w:val="left"/>
      <w:pPr>
        <w:ind w:left="720" w:hanging="360"/>
      </w:pPr>
      <w:rPr>
        <w:rFonts w:hint="default"/>
      </w:rPr>
    </w:lvl>
    <w:lvl w:ilvl="1" w:tplc="F5BE38A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6116554D"/>
    <w:multiLevelType w:val="hybridMultilevel"/>
    <w:tmpl w:val="192CF82E"/>
    <w:lvl w:ilvl="0" w:tplc="A154B808">
      <w:start w:val="1"/>
      <w:numFmt w:val="decimal"/>
      <w:lvlText w:val="(%1)"/>
      <w:lvlJc w:val="left"/>
      <w:pPr>
        <w:ind w:left="720" w:hanging="360"/>
      </w:pPr>
      <w:rPr>
        <w:rFonts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27E4F37"/>
    <w:multiLevelType w:val="hybridMultilevel"/>
    <w:tmpl w:val="824284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nsid w:val="653F6091"/>
    <w:multiLevelType w:val="hybridMultilevel"/>
    <w:tmpl w:val="E85E07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6">
    <w:nsid w:val="678B7E0E"/>
    <w:multiLevelType w:val="hybridMultilevel"/>
    <w:tmpl w:val="892AAD3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nsid w:val="6A422B4F"/>
    <w:multiLevelType w:val="hybridMultilevel"/>
    <w:tmpl w:val="59F0D27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8">
    <w:nsid w:val="728F3723"/>
    <w:multiLevelType w:val="hybridMultilevel"/>
    <w:tmpl w:val="F4A29E8E"/>
    <w:lvl w:ilvl="0" w:tplc="0407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74386B68"/>
    <w:multiLevelType w:val="hybridMultilevel"/>
    <w:tmpl w:val="020CDF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84A759D"/>
    <w:multiLevelType w:val="hybridMultilevel"/>
    <w:tmpl w:val="D7347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7BC04FE8"/>
    <w:multiLevelType w:val="multilevel"/>
    <w:tmpl w:val="85964F28"/>
    <w:lvl w:ilvl="0">
      <w:start w:val="1"/>
      <w:numFmt w:val="decimal"/>
      <w:lvlText w:val="%1."/>
      <w:lvlJc w:val="left"/>
      <w:pPr>
        <w:ind w:left="720" w:hanging="360"/>
      </w:pPr>
      <w:rPr>
        <w:rFonts w:asciiTheme="minorHAnsi" w:hAnsiTheme="minorHAnsi" w:cs="Times New Roman" w:hint="default"/>
      </w:rPr>
    </w:lvl>
    <w:lvl w:ilvl="1">
      <w:start w:val="1"/>
      <w:numFmt w:val="decimal"/>
      <w:isLgl/>
      <w:lvlText w:val="%1.%2"/>
      <w:lvlJc w:val="left"/>
      <w:pPr>
        <w:ind w:left="1350" w:hanging="630"/>
      </w:pPr>
      <w:rPr>
        <w:rFonts w:cs="Calibri"/>
      </w:rPr>
    </w:lvl>
    <w:lvl w:ilvl="2">
      <w:start w:val="1"/>
      <w:numFmt w:val="decimal"/>
      <w:isLgl/>
      <w:lvlText w:val="%1.%2.%3"/>
      <w:lvlJc w:val="left"/>
      <w:pPr>
        <w:ind w:left="1800" w:hanging="720"/>
      </w:pPr>
      <w:rPr>
        <w:rFonts w:cs="Calibri"/>
      </w:rPr>
    </w:lvl>
    <w:lvl w:ilvl="3">
      <w:start w:val="1"/>
      <w:numFmt w:val="decimal"/>
      <w:isLgl/>
      <w:lvlText w:val="%1.%2.%3.%4"/>
      <w:lvlJc w:val="left"/>
      <w:pPr>
        <w:ind w:left="2160" w:hanging="720"/>
      </w:pPr>
      <w:rPr>
        <w:rFonts w:cs="Calibri"/>
      </w:rPr>
    </w:lvl>
    <w:lvl w:ilvl="4">
      <w:start w:val="1"/>
      <w:numFmt w:val="decimal"/>
      <w:isLgl/>
      <w:lvlText w:val="%1.%2.%3.%4.%5"/>
      <w:lvlJc w:val="left"/>
      <w:pPr>
        <w:ind w:left="2880" w:hanging="1080"/>
      </w:pPr>
      <w:rPr>
        <w:rFonts w:cs="Calibri"/>
      </w:rPr>
    </w:lvl>
    <w:lvl w:ilvl="5">
      <w:start w:val="1"/>
      <w:numFmt w:val="decimal"/>
      <w:isLgl/>
      <w:lvlText w:val="%1.%2.%3.%4.%5.%6"/>
      <w:lvlJc w:val="left"/>
      <w:pPr>
        <w:ind w:left="3240" w:hanging="1080"/>
      </w:pPr>
      <w:rPr>
        <w:rFonts w:cs="Calibri"/>
      </w:rPr>
    </w:lvl>
    <w:lvl w:ilvl="6">
      <w:start w:val="1"/>
      <w:numFmt w:val="decimal"/>
      <w:isLgl/>
      <w:lvlText w:val="%1.%2.%3.%4.%5.%6.%7"/>
      <w:lvlJc w:val="left"/>
      <w:pPr>
        <w:ind w:left="3960" w:hanging="1440"/>
      </w:pPr>
      <w:rPr>
        <w:rFonts w:cs="Calibri"/>
      </w:rPr>
    </w:lvl>
    <w:lvl w:ilvl="7">
      <w:start w:val="1"/>
      <w:numFmt w:val="decimal"/>
      <w:isLgl/>
      <w:lvlText w:val="%1.%2.%3.%4.%5.%6.%7.%8"/>
      <w:lvlJc w:val="left"/>
      <w:pPr>
        <w:ind w:left="4320" w:hanging="1440"/>
      </w:pPr>
      <w:rPr>
        <w:rFonts w:cs="Calibri"/>
      </w:rPr>
    </w:lvl>
    <w:lvl w:ilvl="8">
      <w:start w:val="1"/>
      <w:numFmt w:val="decimal"/>
      <w:isLgl/>
      <w:lvlText w:val="%1.%2.%3.%4.%5.%6.%7.%8.%9"/>
      <w:lvlJc w:val="left"/>
      <w:pPr>
        <w:ind w:left="4680" w:hanging="1440"/>
      </w:pPr>
      <w:rPr>
        <w:rFonts w:cs="Calibri"/>
      </w:rPr>
    </w:lvl>
  </w:abstractNum>
  <w:abstractNum w:abstractNumId="62">
    <w:nsid w:val="7C202493"/>
    <w:multiLevelType w:val="hybridMultilevel"/>
    <w:tmpl w:val="A4E6B3E8"/>
    <w:lvl w:ilvl="0" w:tplc="9DF43BDA">
      <w:start w:val="1"/>
      <w:numFmt w:val="decimal"/>
      <w:lvlText w:val="%1."/>
      <w:lvlJc w:val="left"/>
      <w:pPr>
        <w:tabs>
          <w:tab w:val="num" w:pos="360"/>
        </w:tabs>
        <w:ind w:left="360" w:hanging="360"/>
      </w:pPr>
    </w:lvl>
    <w:lvl w:ilvl="1" w:tplc="08090017">
      <w:start w:val="1"/>
      <w:numFmt w:val="lowerLetter"/>
      <w:lvlText w:val="%2)"/>
      <w:lvlJc w:val="left"/>
      <w:pPr>
        <w:ind w:left="1080" w:hanging="360"/>
      </w:pPr>
      <w:rPr>
        <w:rFonts w:hint="default"/>
      </w:rPr>
    </w:lvl>
    <w:lvl w:ilvl="2" w:tplc="9CD8819E" w:tentative="1">
      <w:start w:val="1"/>
      <w:numFmt w:val="decimal"/>
      <w:lvlText w:val="%3."/>
      <w:lvlJc w:val="left"/>
      <w:pPr>
        <w:tabs>
          <w:tab w:val="num" w:pos="1800"/>
        </w:tabs>
        <w:ind w:left="1800" w:hanging="360"/>
      </w:pPr>
    </w:lvl>
    <w:lvl w:ilvl="3" w:tplc="19A88906" w:tentative="1">
      <w:start w:val="1"/>
      <w:numFmt w:val="decimal"/>
      <w:lvlText w:val="%4."/>
      <w:lvlJc w:val="left"/>
      <w:pPr>
        <w:tabs>
          <w:tab w:val="num" w:pos="2520"/>
        </w:tabs>
        <w:ind w:left="2520" w:hanging="360"/>
      </w:pPr>
    </w:lvl>
    <w:lvl w:ilvl="4" w:tplc="31C80B1C" w:tentative="1">
      <w:start w:val="1"/>
      <w:numFmt w:val="decimal"/>
      <w:lvlText w:val="%5."/>
      <w:lvlJc w:val="left"/>
      <w:pPr>
        <w:tabs>
          <w:tab w:val="num" w:pos="3240"/>
        </w:tabs>
        <w:ind w:left="3240" w:hanging="360"/>
      </w:pPr>
    </w:lvl>
    <w:lvl w:ilvl="5" w:tplc="796E1070" w:tentative="1">
      <w:start w:val="1"/>
      <w:numFmt w:val="decimal"/>
      <w:lvlText w:val="%6."/>
      <w:lvlJc w:val="left"/>
      <w:pPr>
        <w:tabs>
          <w:tab w:val="num" w:pos="3960"/>
        </w:tabs>
        <w:ind w:left="3960" w:hanging="360"/>
      </w:pPr>
    </w:lvl>
    <w:lvl w:ilvl="6" w:tplc="EDCC3C88" w:tentative="1">
      <w:start w:val="1"/>
      <w:numFmt w:val="decimal"/>
      <w:lvlText w:val="%7."/>
      <w:lvlJc w:val="left"/>
      <w:pPr>
        <w:tabs>
          <w:tab w:val="num" w:pos="4680"/>
        </w:tabs>
        <w:ind w:left="4680" w:hanging="360"/>
      </w:pPr>
    </w:lvl>
    <w:lvl w:ilvl="7" w:tplc="C02E5706" w:tentative="1">
      <w:start w:val="1"/>
      <w:numFmt w:val="decimal"/>
      <w:lvlText w:val="%8."/>
      <w:lvlJc w:val="left"/>
      <w:pPr>
        <w:tabs>
          <w:tab w:val="num" w:pos="5400"/>
        </w:tabs>
        <w:ind w:left="5400" w:hanging="360"/>
      </w:pPr>
    </w:lvl>
    <w:lvl w:ilvl="8" w:tplc="F596FD48" w:tentative="1">
      <w:start w:val="1"/>
      <w:numFmt w:val="decimal"/>
      <w:lvlText w:val="%9."/>
      <w:lvlJc w:val="left"/>
      <w:pPr>
        <w:tabs>
          <w:tab w:val="num" w:pos="6120"/>
        </w:tabs>
        <w:ind w:left="6120" w:hanging="360"/>
      </w:pPr>
    </w:lvl>
  </w:abstractNum>
  <w:num w:numId="1">
    <w:abstractNumId w:val="50"/>
  </w:num>
  <w:num w:numId="2">
    <w:abstractNumId w:val="51"/>
  </w:num>
  <w:num w:numId="3">
    <w:abstractNumId w:val="44"/>
  </w:num>
  <w:num w:numId="4">
    <w:abstractNumId w:val="23"/>
  </w:num>
  <w:num w:numId="5">
    <w:abstractNumId w:val="53"/>
  </w:num>
  <w:num w:numId="6">
    <w:abstractNumId w:val="14"/>
    <w:lvlOverride w:ilvl="0">
      <w:startOverride w:val="1"/>
    </w:lvlOverride>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9"/>
  </w:num>
  <w:num w:numId="11">
    <w:abstractNumId w:val="3"/>
  </w:num>
  <w:num w:numId="12">
    <w:abstractNumId w:val="20"/>
  </w:num>
  <w:num w:numId="13">
    <w:abstractNumId w:val="4"/>
  </w:num>
  <w:num w:numId="14">
    <w:abstractNumId w:val="52"/>
  </w:num>
  <w:num w:numId="15">
    <w:abstractNumId w:val="11"/>
  </w:num>
  <w:num w:numId="16">
    <w:abstractNumId w:val="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26"/>
  </w:num>
  <w:num w:numId="25">
    <w:abstractNumId w:val="12"/>
  </w:num>
  <w:num w:numId="26">
    <w:abstractNumId w:val="54"/>
  </w:num>
  <w:num w:numId="27">
    <w:abstractNumId w:val="18"/>
  </w:num>
  <w:num w:numId="28">
    <w:abstractNumId w:val="45"/>
  </w:num>
  <w:num w:numId="29">
    <w:abstractNumId w:val="40"/>
  </w:num>
  <w:num w:numId="30">
    <w:abstractNumId w:val="47"/>
  </w:num>
  <w:num w:numId="31">
    <w:abstractNumId w:val="38"/>
  </w:num>
  <w:num w:numId="32">
    <w:abstractNumId w:val="57"/>
  </w:num>
  <w:num w:numId="33">
    <w:abstractNumId w:val="27"/>
  </w:num>
  <w:num w:numId="34">
    <w:abstractNumId w:val="2"/>
  </w:num>
  <w:num w:numId="35">
    <w:abstractNumId w:val="17"/>
  </w:num>
  <w:num w:numId="36">
    <w:abstractNumId w:val="6"/>
  </w:num>
  <w:num w:numId="37">
    <w:abstractNumId w:val="29"/>
  </w:num>
  <w:num w:numId="38">
    <w:abstractNumId w:val="58"/>
  </w:num>
  <w:num w:numId="39">
    <w:abstractNumId w:val="39"/>
  </w:num>
  <w:num w:numId="40">
    <w:abstractNumId w:val="46"/>
  </w:num>
  <w:num w:numId="41">
    <w:abstractNumId w:val="48"/>
  </w:num>
  <w:num w:numId="42">
    <w:abstractNumId w:val="59"/>
  </w:num>
  <w:num w:numId="43">
    <w:abstractNumId w:val="60"/>
  </w:num>
  <w:num w:numId="44">
    <w:abstractNumId w:val="10"/>
  </w:num>
  <w:num w:numId="45">
    <w:abstractNumId w:val="30"/>
  </w:num>
  <w:num w:numId="46">
    <w:abstractNumId w:val="13"/>
  </w:num>
  <w:num w:numId="47">
    <w:abstractNumId w:val="34"/>
  </w:num>
  <w:num w:numId="48">
    <w:abstractNumId w:val="62"/>
  </w:num>
  <w:num w:numId="49">
    <w:abstractNumId w:val="28"/>
  </w:num>
  <w:num w:numId="50">
    <w:abstractNumId w:val="56"/>
  </w:num>
  <w:num w:numId="51">
    <w:abstractNumId w:val="43"/>
  </w:num>
  <w:num w:numId="52">
    <w:abstractNumId w:val="33"/>
  </w:num>
  <w:num w:numId="53">
    <w:abstractNumId w:val="21"/>
  </w:num>
  <w:num w:numId="54">
    <w:abstractNumId w:val="41"/>
  </w:num>
  <w:num w:numId="55">
    <w:abstractNumId w:val="35"/>
  </w:num>
  <w:num w:numId="56">
    <w:abstractNumId w:val="55"/>
  </w:num>
  <w:num w:numId="57">
    <w:abstractNumId w:val="15"/>
  </w:num>
  <w:num w:numId="58">
    <w:abstractNumId w:val="37"/>
  </w:num>
  <w:num w:numId="59">
    <w:abstractNumId w:val="49"/>
  </w:num>
  <w:num w:numId="60">
    <w:abstractNumId w:val="36"/>
  </w:num>
  <w:num w:numId="61">
    <w:abstractNumId w:val="24"/>
  </w:num>
  <w:num w:numId="62">
    <w:abstractNumId w:val="25"/>
  </w:num>
  <w:num w:numId="63">
    <w:abstractNumId w:val="22"/>
  </w:num>
  <w:num w:numId="64">
    <w:abstractNumId w:val="42"/>
  </w:num>
  <w:num w:numId="65">
    <w:abstractNumId w:val="5"/>
  </w:num>
  <w:num w:numId="66">
    <w:abstractNumId w:val="0"/>
  </w:num>
  <w:num w:numId="67">
    <w:abstractNumId w:val="1"/>
  </w:num>
  <w:num w:numId="68">
    <w:abstractNumId w:val="31"/>
  </w:num>
  <w:numIdMacAtCleanup w:val="6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mmert Jochen">
    <w15:presenceInfo w15:providerId="None" w15:userId="Bammert Jochen"/>
  </w15:person>
  <w15:person w15:author="Laure Jaffré">
    <w15:presenceInfo w15:providerId="None" w15:userId="Laure Jaffré"/>
  </w15:person>
  <w15:person w15:author="BAA-PUYOULET Benjamin">
    <w15:presenceInfo w15:providerId="AD" w15:userId="S-1-5-21-3617687895-3840901543-188507473-112120"/>
  </w15:person>
  <w15:person w15:author="Vukasovic Milan">
    <w15:presenceInfo w15:providerId="AD" w15:userId="S-1-5-21-4061599499-346485789-1913777541-5394"/>
  </w15:person>
  <w15:person w15:author="CEPS">
    <w15:presenceInfo w15:providerId="None" w15:userId="CEP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DateAndTime/>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style="mso-position-horizontal-relative:page;mso-position-vertical-relative:page" strokecolor="none [3215]">
      <v:stroke color="none [3215]" weight="1pt"/>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371"/>
    <w:rsid w:val="000003C2"/>
    <w:rsid w:val="0000040E"/>
    <w:rsid w:val="00000772"/>
    <w:rsid w:val="00001811"/>
    <w:rsid w:val="00004BE4"/>
    <w:rsid w:val="000059C4"/>
    <w:rsid w:val="00006456"/>
    <w:rsid w:val="00006FA9"/>
    <w:rsid w:val="000079D9"/>
    <w:rsid w:val="000118B0"/>
    <w:rsid w:val="00013390"/>
    <w:rsid w:val="00013801"/>
    <w:rsid w:val="00014D07"/>
    <w:rsid w:val="00016057"/>
    <w:rsid w:val="00016AA1"/>
    <w:rsid w:val="0002104D"/>
    <w:rsid w:val="00024AF8"/>
    <w:rsid w:val="00027F78"/>
    <w:rsid w:val="00030761"/>
    <w:rsid w:val="000330BD"/>
    <w:rsid w:val="00033829"/>
    <w:rsid w:val="000354BD"/>
    <w:rsid w:val="00036835"/>
    <w:rsid w:val="000408A9"/>
    <w:rsid w:val="00043039"/>
    <w:rsid w:val="00045DEF"/>
    <w:rsid w:val="00046913"/>
    <w:rsid w:val="00046D0D"/>
    <w:rsid w:val="0004706E"/>
    <w:rsid w:val="00047AAF"/>
    <w:rsid w:val="00050760"/>
    <w:rsid w:val="000579F0"/>
    <w:rsid w:val="00057A0D"/>
    <w:rsid w:val="0006074F"/>
    <w:rsid w:val="00060C6B"/>
    <w:rsid w:val="00060FBC"/>
    <w:rsid w:val="0006467A"/>
    <w:rsid w:val="00065212"/>
    <w:rsid w:val="00066622"/>
    <w:rsid w:val="00066674"/>
    <w:rsid w:val="00067A4B"/>
    <w:rsid w:val="00070E56"/>
    <w:rsid w:val="00072DA4"/>
    <w:rsid w:val="00075E57"/>
    <w:rsid w:val="000765AD"/>
    <w:rsid w:val="00084EBE"/>
    <w:rsid w:val="00085DC4"/>
    <w:rsid w:val="00087DB7"/>
    <w:rsid w:val="00095B30"/>
    <w:rsid w:val="000961F8"/>
    <w:rsid w:val="0009770C"/>
    <w:rsid w:val="000A08C2"/>
    <w:rsid w:val="000A0D42"/>
    <w:rsid w:val="000A1744"/>
    <w:rsid w:val="000A3146"/>
    <w:rsid w:val="000A40BE"/>
    <w:rsid w:val="000A601E"/>
    <w:rsid w:val="000A652F"/>
    <w:rsid w:val="000B02F1"/>
    <w:rsid w:val="000B1934"/>
    <w:rsid w:val="000B203F"/>
    <w:rsid w:val="000B20D5"/>
    <w:rsid w:val="000B21E5"/>
    <w:rsid w:val="000B2D46"/>
    <w:rsid w:val="000B3A3D"/>
    <w:rsid w:val="000C0249"/>
    <w:rsid w:val="000C0F52"/>
    <w:rsid w:val="000C1945"/>
    <w:rsid w:val="000C283B"/>
    <w:rsid w:val="000C30AA"/>
    <w:rsid w:val="000C5B6A"/>
    <w:rsid w:val="000C7181"/>
    <w:rsid w:val="000D019A"/>
    <w:rsid w:val="000D1B45"/>
    <w:rsid w:val="000D2CC6"/>
    <w:rsid w:val="000D341E"/>
    <w:rsid w:val="000D4B60"/>
    <w:rsid w:val="000D638B"/>
    <w:rsid w:val="000D6D21"/>
    <w:rsid w:val="000E00F1"/>
    <w:rsid w:val="000E068F"/>
    <w:rsid w:val="000E1A86"/>
    <w:rsid w:val="000E1BB6"/>
    <w:rsid w:val="000E25E1"/>
    <w:rsid w:val="000E32FA"/>
    <w:rsid w:val="000E4A77"/>
    <w:rsid w:val="000F06C8"/>
    <w:rsid w:val="000F0B1D"/>
    <w:rsid w:val="000F1329"/>
    <w:rsid w:val="000F2B5B"/>
    <w:rsid w:val="000F2BCE"/>
    <w:rsid w:val="000F3A71"/>
    <w:rsid w:val="000F54C1"/>
    <w:rsid w:val="000F59C3"/>
    <w:rsid w:val="000F5BED"/>
    <w:rsid w:val="000F674C"/>
    <w:rsid w:val="000F685D"/>
    <w:rsid w:val="000F693C"/>
    <w:rsid w:val="001008E1"/>
    <w:rsid w:val="00102B76"/>
    <w:rsid w:val="00103314"/>
    <w:rsid w:val="00103FFB"/>
    <w:rsid w:val="0010498A"/>
    <w:rsid w:val="00104B72"/>
    <w:rsid w:val="00105577"/>
    <w:rsid w:val="001066E4"/>
    <w:rsid w:val="001070C0"/>
    <w:rsid w:val="00107374"/>
    <w:rsid w:val="00110460"/>
    <w:rsid w:val="00110FC1"/>
    <w:rsid w:val="00111341"/>
    <w:rsid w:val="00111642"/>
    <w:rsid w:val="00111DF2"/>
    <w:rsid w:val="00111FBB"/>
    <w:rsid w:val="00112D3B"/>
    <w:rsid w:val="001143DF"/>
    <w:rsid w:val="0011491D"/>
    <w:rsid w:val="00114BDA"/>
    <w:rsid w:val="001177C5"/>
    <w:rsid w:val="001206D4"/>
    <w:rsid w:val="00120EEC"/>
    <w:rsid w:val="0012174D"/>
    <w:rsid w:val="00124745"/>
    <w:rsid w:val="00126B18"/>
    <w:rsid w:val="00127D1A"/>
    <w:rsid w:val="00132097"/>
    <w:rsid w:val="001326A5"/>
    <w:rsid w:val="001347A8"/>
    <w:rsid w:val="00134AA0"/>
    <w:rsid w:val="00140291"/>
    <w:rsid w:val="0014120A"/>
    <w:rsid w:val="00142363"/>
    <w:rsid w:val="00143E63"/>
    <w:rsid w:val="00143F91"/>
    <w:rsid w:val="001443BA"/>
    <w:rsid w:val="001447CE"/>
    <w:rsid w:val="00147626"/>
    <w:rsid w:val="00147BED"/>
    <w:rsid w:val="00150A3A"/>
    <w:rsid w:val="00150B72"/>
    <w:rsid w:val="00151F39"/>
    <w:rsid w:val="00152CAE"/>
    <w:rsid w:val="00156CDC"/>
    <w:rsid w:val="001575CC"/>
    <w:rsid w:val="00160131"/>
    <w:rsid w:val="00161070"/>
    <w:rsid w:val="00161366"/>
    <w:rsid w:val="00162B68"/>
    <w:rsid w:val="00163012"/>
    <w:rsid w:val="00163422"/>
    <w:rsid w:val="001634ED"/>
    <w:rsid w:val="00163990"/>
    <w:rsid w:val="001654AF"/>
    <w:rsid w:val="0016641C"/>
    <w:rsid w:val="001671E3"/>
    <w:rsid w:val="001676D5"/>
    <w:rsid w:val="0017303B"/>
    <w:rsid w:val="00174315"/>
    <w:rsid w:val="00174C39"/>
    <w:rsid w:val="001751D0"/>
    <w:rsid w:val="00176536"/>
    <w:rsid w:val="00181BBD"/>
    <w:rsid w:val="00182914"/>
    <w:rsid w:val="0018540A"/>
    <w:rsid w:val="0018585D"/>
    <w:rsid w:val="00190F85"/>
    <w:rsid w:val="0019287E"/>
    <w:rsid w:val="00194DBE"/>
    <w:rsid w:val="0019547A"/>
    <w:rsid w:val="001A0354"/>
    <w:rsid w:val="001A0FF4"/>
    <w:rsid w:val="001A1106"/>
    <w:rsid w:val="001A1990"/>
    <w:rsid w:val="001A2075"/>
    <w:rsid w:val="001A29FC"/>
    <w:rsid w:val="001A2E1D"/>
    <w:rsid w:val="001A3395"/>
    <w:rsid w:val="001A3B31"/>
    <w:rsid w:val="001A55A2"/>
    <w:rsid w:val="001A5EDB"/>
    <w:rsid w:val="001A5F95"/>
    <w:rsid w:val="001A7031"/>
    <w:rsid w:val="001A76E9"/>
    <w:rsid w:val="001B00F5"/>
    <w:rsid w:val="001B269F"/>
    <w:rsid w:val="001B298E"/>
    <w:rsid w:val="001B3D67"/>
    <w:rsid w:val="001B55D3"/>
    <w:rsid w:val="001B6ACF"/>
    <w:rsid w:val="001B7E06"/>
    <w:rsid w:val="001C0F8F"/>
    <w:rsid w:val="001C0FB8"/>
    <w:rsid w:val="001C1AF0"/>
    <w:rsid w:val="001C1BCB"/>
    <w:rsid w:val="001C4213"/>
    <w:rsid w:val="001C42E0"/>
    <w:rsid w:val="001C4F2E"/>
    <w:rsid w:val="001C54E7"/>
    <w:rsid w:val="001C6F9C"/>
    <w:rsid w:val="001D19A7"/>
    <w:rsid w:val="001D3462"/>
    <w:rsid w:val="001D41D8"/>
    <w:rsid w:val="001D41FD"/>
    <w:rsid w:val="001D5DA3"/>
    <w:rsid w:val="001D6A09"/>
    <w:rsid w:val="001D733B"/>
    <w:rsid w:val="001D7496"/>
    <w:rsid w:val="001D762E"/>
    <w:rsid w:val="001E0116"/>
    <w:rsid w:val="001E1271"/>
    <w:rsid w:val="001E2016"/>
    <w:rsid w:val="001E21E3"/>
    <w:rsid w:val="001E2776"/>
    <w:rsid w:val="001E288A"/>
    <w:rsid w:val="001E46EC"/>
    <w:rsid w:val="001E5F19"/>
    <w:rsid w:val="001E6144"/>
    <w:rsid w:val="001E6525"/>
    <w:rsid w:val="001E792D"/>
    <w:rsid w:val="001E7EA6"/>
    <w:rsid w:val="001E7F0F"/>
    <w:rsid w:val="001F09FA"/>
    <w:rsid w:val="001F0F4E"/>
    <w:rsid w:val="001F36D6"/>
    <w:rsid w:val="001F69B5"/>
    <w:rsid w:val="002034DE"/>
    <w:rsid w:val="002107C2"/>
    <w:rsid w:val="00210A05"/>
    <w:rsid w:val="0021210C"/>
    <w:rsid w:val="0021474E"/>
    <w:rsid w:val="002155AB"/>
    <w:rsid w:val="0021690D"/>
    <w:rsid w:val="002228BD"/>
    <w:rsid w:val="00224DC2"/>
    <w:rsid w:val="002306D5"/>
    <w:rsid w:val="002309D3"/>
    <w:rsid w:val="002312AC"/>
    <w:rsid w:val="002341CF"/>
    <w:rsid w:val="0023487A"/>
    <w:rsid w:val="00236627"/>
    <w:rsid w:val="00236C4B"/>
    <w:rsid w:val="00241495"/>
    <w:rsid w:val="0024169C"/>
    <w:rsid w:val="002417A3"/>
    <w:rsid w:val="00242F0D"/>
    <w:rsid w:val="002433F5"/>
    <w:rsid w:val="002445B0"/>
    <w:rsid w:val="0024495E"/>
    <w:rsid w:val="00246BE4"/>
    <w:rsid w:val="00247DBB"/>
    <w:rsid w:val="00254717"/>
    <w:rsid w:val="00254E78"/>
    <w:rsid w:val="0025665E"/>
    <w:rsid w:val="00257C56"/>
    <w:rsid w:val="00257D01"/>
    <w:rsid w:val="00260AEB"/>
    <w:rsid w:val="00260FC8"/>
    <w:rsid w:val="002613D9"/>
    <w:rsid w:val="00263543"/>
    <w:rsid w:val="00264751"/>
    <w:rsid w:val="002653A0"/>
    <w:rsid w:val="00267BD7"/>
    <w:rsid w:val="00270373"/>
    <w:rsid w:val="00270413"/>
    <w:rsid w:val="00270823"/>
    <w:rsid w:val="0027115B"/>
    <w:rsid w:val="00272786"/>
    <w:rsid w:val="002732D5"/>
    <w:rsid w:val="00274086"/>
    <w:rsid w:val="00274C09"/>
    <w:rsid w:val="002761FD"/>
    <w:rsid w:val="0027786A"/>
    <w:rsid w:val="0028028F"/>
    <w:rsid w:val="0028125C"/>
    <w:rsid w:val="00282151"/>
    <w:rsid w:val="002856BC"/>
    <w:rsid w:val="00285B00"/>
    <w:rsid w:val="00285C19"/>
    <w:rsid w:val="00290A52"/>
    <w:rsid w:val="0029256D"/>
    <w:rsid w:val="002947EA"/>
    <w:rsid w:val="002950FF"/>
    <w:rsid w:val="002977A1"/>
    <w:rsid w:val="002A0B08"/>
    <w:rsid w:val="002A1C81"/>
    <w:rsid w:val="002A1E40"/>
    <w:rsid w:val="002A4168"/>
    <w:rsid w:val="002A5A44"/>
    <w:rsid w:val="002B272C"/>
    <w:rsid w:val="002B2DB1"/>
    <w:rsid w:val="002B3B7B"/>
    <w:rsid w:val="002B6285"/>
    <w:rsid w:val="002B6A68"/>
    <w:rsid w:val="002C063D"/>
    <w:rsid w:val="002C668E"/>
    <w:rsid w:val="002D0803"/>
    <w:rsid w:val="002D140D"/>
    <w:rsid w:val="002D2455"/>
    <w:rsid w:val="002D2E12"/>
    <w:rsid w:val="002D322B"/>
    <w:rsid w:val="002D47C5"/>
    <w:rsid w:val="002D4993"/>
    <w:rsid w:val="002D499D"/>
    <w:rsid w:val="002D68CE"/>
    <w:rsid w:val="002E3273"/>
    <w:rsid w:val="002E44CD"/>
    <w:rsid w:val="002E470A"/>
    <w:rsid w:val="002E69D3"/>
    <w:rsid w:val="002E752A"/>
    <w:rsid w:val="002F1147"/>
    <w:rsid w:val="002F1DFF"/>
    <w:rsid w:val="002F1F41"/>
    <w:rsid w:val="002F20F9"/>
    <w:rsid w:val="002F423B"/>
    <w:rsid w:val="002F5747"/>
    <w:rsid w:val="002F5EFD"/>
    <w:rsid w:val="002F6842"/>
    <w:rsid w:val="002F796C"/>
    <w:rsid w:val="003000B2"/>
    <w:rsid w:val="00301DC5"/>
    <w:rsid w:val="003025D1"/>
    <w:rsid w:val="00304536"/>
    <w:rsid w:val="0030591F"/>
    <w:rsid w:val="003075A0"/>
    <w:rsid w:val="003079A9"/>
    <w:rsid w:val="003110BF"/>
    <w:rsid w:val="00311E4E"/>
    <w:rsid w:val="003234FA"/>
    <w:rsid w:val="0032409E"/>
    <w:rsid w:val="00325086"/>
    <w:rsid w:val="00330365"/>
    <w:rsid w:val="003314D0"/>
    <w:rsid w:val="00331A28"/>
    <w:rsid w:val="00332CC9"/>
    <w:rsid w:val="0033372B"/>
    <w:rsid w:val="00340620"/>
    <w:rsid w:val="00341096"/>
    <w:rsid w:val="003444FB"/>
    <w:rsid w:val="00344C99"/>
    <w:rsid w:val="00347B71"/>
    <w:rsid w:val="00350C7B"/>
    <w:rsid w:val="00352513"/>
    <w:rsid w:val="00352E0A"/>
    <w:rsid w:val="00355D73"/>
    <w:rsid w:val="003567B8"/>
    <w:rsid w:val="0035703A"/>
    <w:rsid w:val="00360531"/>
    <w:rsid w:val="003616D4"/>
    <w:rsid w:val="003619E1"/>
    <w:rsid w:val="00361C4A"/>
    <w:rsid w:val="00361DB5"/>
    <w:rsid w:val="00363FD9"/>
    <w:rsid w:val="00367938"/>
    <w:rsid w:val="003716D1"/>
    <w:rsid w:val="0037247F"/>
    <w:rsid w:val="00372FE5"/>
    <w:rsid w:val="00375CC7"/>
    <w:rsid w:val="00376731"/>
    <w:rsid w:val="00376A05"/>
    <w:rsid w:val="0037768B"/>
    <w:rsid w:val="0038017C"/>
    <w:rsid w:val="0038029D"/>
    <w:rsid w:val="003846DA"/>
    <w:rsid w:val="0038669D"/>
    <w:rsid w:val="00386946"/>
    <w:rsid w:val="00390A88"/>
    <w:rsid w:val="003919B3"/>
    <w:rsid w:val="003921B3"/>
    <w:rsid w:val="00392E34"/>
    <w:rsid w:val="00393864"/>
    <w:rsid w:val="00393DE7"/>
    <w:rsid w:val="003953B9"/>
    <w:rsid w:val="003A008C"/>
    <w:rsid w:val="003A1503"/>
    <w:rsid w:val="003A354D"/>
    <w:rsid w:val="003A3FD2"/>
    <w:rsid w:val="003A4834"/>
    <w:rsid w:val="003A5A63"/>
    <w:rsid w:val="003A67E9"/>
    <w:rsid w:val="003A6C81"/>
    <w:rsid w:val="003A79A5"/>
    <w:rsid w:val="003B012B"/>
    <w:rsid w:val="003B09A7"/>
    <w:rsid w:val="003B18A2"/>
    <w:rsid w:val="003B281E"/>
    <w:rsid w:val="003B2B80"/>
    <w:rsid w:val="003B39E3"/>
    <w:rsid w:val="003B3AC7"/>
    <w:rsid w:val="003B4442"/>
    <w:rsid w:val="003B63CE"/>
    <w:rsid w:val="003B6540"/>
    <w:rsid w:val="003C1787"/>
    <w:rsid w:val="003C1EE0"/>
    <w:rsid w:val="003C20F1"/>
    <w:rsid w:val="003C32C5"/>
    <w:rsid w:val="003C5152"/>
    <w:rsid w:val="003D0965"/>
    <w:rsid w:val="003D0E89"/>
    <w:rsid w:val="003D10A3"/>
    <w:rsid w:val="003D15CA"/>
    <w:rsid w:val="003D2A99"/>
    <w:rsid w:val="003D4C07"/>
    <w:rsid w:val="003D5000"/>
    <w:rsid w:val="003D68E6"/>
    <w:rsid w:val="003D6991"/>
    <w:rsid w:val="003E1E93"/>
    <w:rsid w:val="003E4A51"/>
    <w:rsid w:val="003E4D3B"/>
    <w:rsid w:val="003E7350"/>
    <w:rsid w:val="003E7600"/>
    <w:rsid w:val="003F24DC"/>
    <w:rsid w:val="003F3674"/>
    <w:rsid w:val="003F36CF"/>
    <w:rsid w:val="003F495C"/>
    <w:rsid w:val="003F55AE"/>
    <w:rsid w:val="00401221"/>
    <w:rsid w:val="00402D18"/>
    <w:rsid w:val="00406D53"/>
    <w:rsid w:val="004104C5"/>
    <w:rsid w:val="00410773"/>
    <w:rsid w:val="00410A3C"/>
    <w:rsid w:val="00410D7E"/>
    <w:rsid w:val="00410F23"/>
    <w:rsid w:val="00411C65"/>
    <w:rsid w:val="004122C6"/>
    <w:rsid w:val="00412498"/>
    <w:rsid w:val="00413FD1"/>
    <w:rsid w:val="004165C6"/>
    <w:rsid w:val="004213F3"/>
    <w:rsid w:val="0042164E"/>
    <w:rsid w:val="00421B64"/>
    <w:rsid w:val="00423E1A"/>
    <w:rsid w:val="00426EB8"/>
    <w:rsid w:val="00432FF7"/>
    <w:rsid w:val="0043566C"/>
    <w:rsid w:val="00443380"/>
    <w:rsid w:val="004456C1"/>
    <w:rsid w:val="0044629C"/>
    <w:rsid w:val="00450491"/>
    <w:rsid w:val="00450B4B"/>
    <w:rsid w:val="00451474"/>
    <w:rsid w:val="00451B9E"/>
    <w:rsid w:val="00452501"/>
    <w:rsid w:val="00453B99"/>
    <w:rsid w:val="0045447A"/>
    <w:rsid w:val="004544C1"/>
    <w:rsid w:val="00455F74"/>
    <w:rsid w:val="00456B06"/>
    <w:rsid w:val="00456FE7"/>
    <w:rsid w:val="00461A70"/>
    <w:rsid w:val="00461AED"/>
    <w:rsid w:val="0046373A"/>
    <w:rsid w:val="00464898"/>
    <w:rsid w:val="00465A9A"/>
    <w:rsid w:val="0046624A"/>
    <w:rsid w:val="00470065"/>
    <w:rsid w:val="00471AA4"/>
    <w:rsid w:val="00472180"/>
    <w:rsid w:val="004721F0"/>
    <w:rsid w:val="00474874"/>
    <w:rsid w:val="00474E1F"/>
    <w:rsid w:val="004753E0"/>
    <w:rsid w:val="00475A02"/>
    <w:rsid w:val="00475CC8"/>
    <w:rsid w:val="00477ACD"/>
    <w:rsid w:val="00482734"/>
    <w:rsid w:val="00484660"/>
    <w:rsid w:val="00484B64"/>
    <w:rsid w:val="0048638E"/>
    <w:rsid w:val="00487C99"/>
    <w:rsid w:val="00490789"/>
    <w:rsid w:val="00495694"/>
    <w:rsid w:val="00495CAF"/>
    <w:rsid w:val="00497954"/>
    <w:rsid w:val="004A06AE"/>
    <w:rsid w:val="004A083F"/>
    <w:rsid w:val="004A1355"/>
    <w:rsid w:val="004A1E7D"/>
    <w:rsid w:val="004A3371"/>
    <w:rsid w:val="004A717B"/>
    <w:rsid w:val="004A7262"/>
    <w:rsid w:val="004B0150"/>
    <w:rsid w:val="004B4D5F"/>
    <w:rsid w:val="004B6993"/>
    <w:rsid w:val="004B768D"/>
    <w:rsid w:val="004C1A8B"/>
    <w:rsid w:val="004C419B"/>
    <w:rsid w:val="004C4289"/>
    <w:rsid w:val="004D01CB"/>
    <w:rsid w:val="004D2955"/>
    <w:rsid w:val="004D6309"/>
    <w:rsid w:val="004D73CD"/>
    <w:rsid w:val="004D7415"/>
    <w:rsid w:val="004D7594"/>
    <w:rsid w:val="004D7879"/>
    <w:rsid w:val="004E5A6A"/>
    <w:rsid w:val="004E5C2C"/>
    <w:rsid w:val="004E5D84"/>
    <w:rsid w:val="00501B7F"/>
    <w:rsid w:val="00501D42"/>
    <w:rsid w:val="00502354"/>
    <w:rsid w:val="00504A30"/>
    <w:rsid w:val="00506FDF"/>
    <w:rsid w:val="0050775B"/>
    <w:rsid w:val="0051409F"/>
    <w:rsid w:val="0051440A"/>
    <w:rsid w:val="0052201F"/>
    <w:rsid w:val="005243E8"/>
    <w:rsid w:val="00525545"/>
    <w:rsid w:val="00527CCA"/>
    <w:rsid w:val="005301BC"/>
    <w:rsid w:val="005306D0"/>
    <w:rsid w:val="00530A0D"/>
    <w:rsid w:val="00531B89"/>
    <w:rsid w:val="005336DE"/>
    <w:rsid w:val="00534F83"/>
    <w:rsid w:val="0053705D"/>
    <w:rsid w:val="00543156"/>
    <w:rsid w:val="005435D0"/>
    <w:rsid w:val="00543840"/>
    <w:rsid w:val="00543CA7"/>
    <w:rsid w:val="00544B00"/>
    <w:rsid w:val="00545AD8"/>
    <w:rsid w:val="00545DC3"/>
    <w:rsid w:val="00547043"/>
    <w:rsid w:val="00547C06"/>
    <w:rsid w:val="00551D1E"/>
    <w:rsid w:val="005524B7"/>
    <w:rsid w:val="00552C72"/>
    <w:rsid w:val="005545D3"/>
    <w:rsid w:val="00557274"/>
    <w:rsid w:val="00562B36"/>
    <w:rsid w:val="0056329C"/>
    <w:rsid w:val="0056352E"/>
    <w:rsid w:val="005663C7"/>
    <w:rsid w:val="00570817"/>
    <w:rsid w:val="00575227"/>
    <w:rsid w:val="00577318"/>
    <w:rsid w:val="005815EC"/>
    <w:rsid w:val="005828DC"/>
    <w:rsid w:val="0058491B"/>
    <w:rsid w:val="00585827"/>
    <w:rsid w:val="005860DD"/>
    <w:rsid w:val="005869A7"/>
    <w:rsid w:val="00590A19"/>
    <w:rsid w:val="00591734"/>
    <w:rsid w:val="005926F6"/>
    <w:rsid w:val="005928BC"/>
    <w:rsid w:val="00593136"/>
    <w:rsid w:val="00594508"/>
    <w:rsid w:val="00595B50"/>
    <w:rsid w:val="00597024"/>
    <w:rsid w:val="005A0220"/>
    <w:rsid w:val="005A07A2"/>
    <w:rsid w:val="005A311E"/>
    <w:rsid w:val="005A403B"/>
    <w:rsid w:val="005A4D38"/>
    <w:rsid w:val="005A5DC8"/>
    <w:rsid w:val="005A7896"/>
    <w:rsid w:val="005B03D4"/>
    <w:rsid w:val="005B03FE"/>
    <w:rsid w:val="005B0BF4"/>
    <w:rsid w:val="005B2444"/>
    <w:rsid w:val="005B3EB0"/>
    <w:rsid w:val="005B4820"/>
    <w:rsid w:val="005B5D54"/>
    <w:rsid w:val="005B6009"/>
    <w:rsid w:val="005B7D05"/>
    <w:rsid w:val="005C0557"/>
    <w:rsid w:val="005C0746"/>
    <w:rsid w:val="005C38A9"/>
    <w:rsid w:val="005C5FDC"/>
    <w:rsid w:val="005C7410"/>
    <w:rsid w:val="005C758B"/>
    <w:rsid w:val="005D068C"/>
    <w:rsid w:val="005D3FB8"/>
    <w:rsid w:val="005D6C82"/>
    <w:rsid w:val="005E04B7"/>
    <w:rsid w:val="005E5A07"/>
    <w:rsid w:val="005E5B74"/>
    <w:rsid w:val="005F1F7C"/>
    <w:rsid w:val="005F334C"/>
    <w:rsid w:val="005F728A"/>
    <w:rsid w:val="006010C2"/>
    <w:rsid w:val="006014D6"/>
    <w:rsid w:val="00602BB7"/>
    <w:rsid w:val="0060540C"/>
    <w:rsid w:val="0060799D"/>
    <w:rsid w:val="00611B5F"/>
    <w:rsid w:val="00612AD5"/>
    <w:rsid w:val="006157B9"/>
    <w:rsid w:val="00620817"/>
    <w:rsid w:val="0062175F"/>
    <w:rsid w:val="00621F77"/>
    <w:rsid w:val="00622ABC"/>
    <w:rsid w:val="00623B44"/>
    <w:rsid w:val="006244A4"/>
    <w:rsid w:val="00625462"/>
    <w:rsid w:val="00626CF6"/>
    <w:rsid w:val="006308D4"/>
    <w:rsid w:val="00632591"/>
    <w:rsid w:val="00633C1D"/>
    <w:rsid w:val="006366CE"/>
    <w:rsid w:val="006421F0"/>
    <w:rsid w:val="0064250C"/>
    <w:rsid w:val="0064345A"/>
    <w:rsid w:val="00646F0E"/>
    <w:rsid w:val="00647561"/>
    <w:rsid w:val="006476C4"/>
    <w:rsid w:val="00647FAE"/>
    <w:rsid w:val="00647FDB"/>
    <w:rsid w:val="00651533"/>
    <w:rsid w:val="0065274C"/>
    <w:rsid w:val="0065278C"/>
    <w:rsid w:val="00656B9A"/>
    <w:rsid w:val="00657741"/>
    <w:rsid w:val="006610C6"/>
    <w:rsid w:val="00661CBA"/>
    <w:rsid w:val="00661CEC"/>
    <w:rsid w:val="0066321D"/>
    <w:rsid w:val="0066440A"/>
    <w:rsid w:val="006651C9"/>
    <w:rsid w:val="0066578A"/>
    <w:rsid w:val="00667DDD"/>
    <w:rsid w:val="0067038F"/>
    <w:rsid w:val="00671273"/>
    <w:rsid w:val="006715A7"/>
    <w:rsid w:val="006740CC"/>
    <w:rsid w:val="0067620B"/>
    <w:rsid w:val="00676E61"/>
    <w:rsid w:val="006805DD"/>
    <w:rsid w:val="00680D83"/>
    <w:rsid w:val="0068264A"/>
    <w:rsid w:val="0068276C"/>
    <w:rsid w:val="006840F9"/>
    <w:rsid w:val="006861E5"/>
    <w:rsid w:val="00690CFD"/>
    <w:rsid w:val="0069443C"/>
    <w:rsid w:val="0069470B"/>
    <w:rsid w:val="00696EBB"/>
    <w:rsid w:val="0069706C"/>
    <w:rsid w:val="00697BA9"/>
    <w:rsid w:val="006A12FA"/>
    <w:rsid w:val="006A1313"/>
    <w:rsid w:val="006A27F6"/>
    <w:rsid w:val="006A2B5E"/>
    <w:rsid w:val="006A3F2A"/>
    <w:rsid w:val="006A4DF4"/>
    <w:rsid w:val="006A5182"/>
    <w:rsid w:val="006A5422"/>
    <w:rsid w:val="006A5E09"/>
    <w:rsid w:val="006B27E5"/>
    <w:rsid w:val="006B34F1"/>
    <w:rsid w:val="006B4ACE"/>
    <w:rsid w:val="006B5463"/>
    <w:rsid w:val="006B69FD"/>
    <w:rsid w:val="006B6D11"/>
    <w:rsid w:val="006B7341"/>
    <w:rsid w:val="006B7555"/>
    <w:rsid w:val="006B7816"/>
    <w:rsid w:val="006B7C21"/>
    <w:rsid w:val="006C21E5"/>
    <w:rsid w:val="006C22DC"/>
    <w:rsid w:val="006C37C6"/>
    <w:rsid w:val="006C3831"/>
    <w:rsid w:val="006C40AB"/>
    <w:rsid w:val="006C7FEB"/>
    <w:rsid w:val="006D10F7"/>
    <w:rsid w:val="006D29DD"/>
    <w:rsid w:val="006D3196"/>
    <w:rsid w:val="006D450C"/>
    <w:rsid w:val="006D4BD5"/>
    <w:rsid w:val="006D5386"/>
    <w:rsid w:val="006D615C"/>
    <w:rsid w:val="006E00F4"/>
    <w:rsid w:val="006E2792"/>
    <w:rsid w:val="006E5ADB"/>
    <w:rsid w:val="006E6AC3"/>
    <w:rsid w:val="006E6F1D"/>
    <w:rsid w:val="006E7EA7"/>
    <w:rsid w:val="006E7EF4"/>
    <w:rsid w:val="006F0895"/>
    <w:rsid w:val="006F0D01"/>
    <w:rsid w:val="006F0D49"/>
    <w:rsid w:val="006F407A"/>
    <w:rsid w:val="006F5F01"/>
    <w:rsid w:val="006F610D"/>
    <w:rsid w:val="006F63BB"/>
    <w:rsid w:val="006F7146"/>
    <w:rsid w:val="00700104"/>
    <w:rsid w:val="00703E9A"/>
    <w:rsid w:val="00705BB4"/>
    <w:rsid w:val="007072D2"/>
    <w:rsid w:val="007124EB"/>
    <w:rsid w:val="007127A3"/>
    <w:rsid w:val="007155E1"/>
    <w:rsid w:val="00715F40"/>
    <w:rsid w:val="00717C4C"/>
    <w:rsid w:val="007204E0"/>
    <w:rsid w:val="00720BD0"/>
    <w:rsid w:val="0072317A"/>
    <w:rsid w:val="0072447F"/>
    <w:rsid w:val="00724896"/>
    <w:rsid w:val="00725A7E"/>
    <w:rsid w:val="00726B01"/>
    <w:rsid w:val="00727C7B"/>
    <w:rsid w:val="00730146"/>
    <w:rsid w:val="00730421"/>
    <w:rsid w:val="0073097C"/>
    <w:rsid w:val="00733667"/>
    <w:rsid w:val="0073636E"/>
    <w:rsid w:val="00736B34"/>
    <w:rsid w:val="007378C5"/>
    <w:rsid w:val="007400E0"/>
    <w:rsid w:val="0074057E"/>
    <w:rsid w:val="00741409"/>
    <w:rsid w:val="0074216A"/>
    <w:rsid w:val="00742223"/>
    <w:rsid w:val="00742379"/>
    <w:rsid w:val="0074242A"/>
    <w:rsid w:val="00742496"/>
    <w:rsid w:val="0074457E"/>
    <w:rsid w:val="0074524E"/>
    <w:rsid w:val="0074542B"/>
    <w:rsid w:val="00745E9F"/>
    <w:rsid w:val="00755110"/>
    <w:rsid w:val="007557A2"/>
    <w:rsid w:val="007570AE"/>
    <w:rsid w:val="0076042F"/>
    <w:rsid w:val="007604FF"/>
    <w:rsid w:val="007610DF"/>
    <w:rsid w:val="007644C1"/>
    <w:rsid w:val="0076645F"/>
    <w:rsid w:val="00767C88"/>
    <w:rsid w:val="00770845"/>
    <w:rsid w:val="007717D5"/>
    <w:rsid w:val="00780951"/>
    <w:rsid w:val="00783063"/>
    <w:rsid w:val="007833AC"/>
    <w:rsid w:val="007856F1"/>
    <w:rsid w:val="00786BD8"/>
    <w:rsid w:val="00787007"/>
    <w:rsid w:val="007904DC"/>
    <w:rsid w:val="007920C7"/>
    <w:rsid w:val="00792C65"/>
    <w:rsid w:val="0079539D"/>
    <w:rsid w:val="007A0029"/>
    <w:rsid w:val="007A065B"/>
    <w:rsid w:val="007A37F2"/>
    <w:rsid w:val="007A3AB2"/>
    <w:rsid w:val="007A6336"/>
    <w:rsid w:val="007A686E"/>
    <w:rsid w:val="007A71A7"/>
    <w:rsid w:val="007A7640"/>
    <w:rsid w:val="007B0348"/>
    <w:rsid w:val="007B1193"/>
    <w:rsid w:val="007B4CBE"/>
    <w:rsid w:val="007B4EF3"/>
    <w:rsid w:val="007B5446"/>
    <w:rsid w:val="007B69F1"/>
    <w:rsid w:val="007B7451"/>
    <w:rsid w:val="007C046F"/>
    <w:rsid w:val="007C26D7"/>
    <w:rsid w:val="007C39B2"/>
    <w:rsid w:val="007C3C07"/>
    <w:rsid w:val="007C5907"/>
    <w:rsid w:val="007C5B09"/>
    <w:rsid w:val="007C663E"/>
    <w:rsid w:val="007C6E8B"/>
    <w:rsid w:val="007C7052"/>
    <w:rsid w:val="007D07DD"/>
    <w:rsid w:val="007D11B7"/>
    <w:rsid w:val="007D1310"/>
    <w:rsid w:val="007D1FFC"/>
    <w:rsid w:val="007D2999"/>
    <w:rsid w:val="007D2B67"/>
    <w:rsid w:val="007D3FC6"/>
    <w:rsid w:val="007D58A7"/>
    <w:rsid w:val="007D590C"/>
    <w:rsid w:val="007D5CD8"/>
    <w:rsid w:val="007D7222"/>
    <w:rsid w:val="007D75C0"/>
    <w:rsid w:val="007D7FD3"/>
    <w:rsid w:val="007E07A5"/>
    <w:rsid w:val="007E0874"/>
    <w:rsid w:val="007E1355"/>
    <w:rsid w:val="007E2384"/>
    <w:rsid w:val="007E6984"/>
    <w:rsid w:val="007F2A54"/>
    <w:rsid w:val="007F2B31"/>
    <w:rsid w:val="007F31DD"/>
    <w:rsid w:val="007F3F2A"/>
    <w:rsid w:val="007F4229"/>
    <w:rsid w:val="007F4396"/>
    <w:rsid w:val="007F4B9D"/>
    <w:rsid w:val="007F4F0D"/>
    <w:rsid w:val="007F4F2A"/>
    <w:rsid w:val="007F5FE8"/>
    <w:rsid w:val="007F6078"/>
    <w:rsid w:val="007F62C0"/>
    <w:rsid w:val="007F7394"/>
    <w:rsid w:val="00800A15"/>
    <w:rsid w:val="00802022"/>
    <w:rsid w:val="00802DCB"/>
    <w:rsid w:val="0080592F"/>
    <w:rsid w:val="00806BAE"/>
    <w:rsid w:val="008078DC"/>
    <w:rsid w:val="00807CA3"/>
    <w:rsid w:val="00813C12"/>
    <w:rsid w:val="00814C72"/>
    <w:rsid w:val="008153A9"/>
    <w:rsid w:val="00816B7F"/>
    <w:rsid w:val="008243A6"/>
    <w:rsid w:val="00824967"/>
    <w:rsid w:val="00827013"/>
    <w:rsid w:val="00840FD4"/>
    <w:rsid w:val="0084146D"/>
    <w:rsid w:val="00841893"/>
    <w:rsid w:val="00841F19"/>
    <w:rsid w:val="008436BD"/>
    <w:rsid w:val="00845105"/>
    <w:rsid w:val="008458A1"/>
    <w:rsid w:val="00850CCF"/>
    <w:rsid w:val="0085182E"/>
    <w:rsid w:val="00851DB6"/>
    <w:rsid w:val="008530AD"/>
    <w:rsid w:val="00855895"/>
    <w:rsid w:val="00857538"/>
    <w:rsid w:val="00857638"/>
    <w:rsid w:val="00861DA8"/>
    <w:rsid w:val="00862391"/>
    <w:rsid w:val="00863C01"/>
    <w:rsid w:val="00864206"/>
    <w:rsid w:val="00866952"/>
    <w:rsid w:val="00866B2D"/>
    <w:rsid w:val="00870398"/>
    <w:rsid w:val="0087089F"/>
    <w:rsid w:val="00871CC4"/>
    <w:rsid w:val="00874F2F"/>
    <w:rsid w:val="00875CD7"/>
    <w:rsid w:val="008803E1"/>
    <w:rsid w:val="00881240"/>
    <w:rsid w:val="008837C8"/>
    <w:rsid w:val="00883B30"/>
    <w:rsid w:val="008849B5"/>
    <w:rsid w:val="00886826"/>
    <w:rsid w:val="008878DA"/>
    <w:rsid w:val="00892D0C"/>
    <w:rsid w:val="008943E4"/>
    <w:rsid w:val="00896F83"/>
    <w:rsid w:val="008A0F63"/>
    <w:rsid w:val="008A21B2"/>
    <w:rsid w:val="008A253A"/>
    <w:rsid w:val="008A43A4"/>
    <w:rsid w:val="008A5A44"/>
    <w:rsid w:val="008A67A2"/>
    <w:rsid w:val="008B1F24"/>
    <w:rsid w:val="008B2DB6"/>
    <w:rsid w:val="008B34B1"/>
    <w:rsid w:val="008B5814"/>
    <w:rsid w:val="008B6332"/>
    <w:rsid w:val="008B6648"/>
    <w:rsid w:val="008C038C"/>
    <w:rsid w:val="008C2CC0"/>
    <w:rsid w:val="008C44BA"/>
    <w:rsid w:val="008C4D21"/>
    <w:rsid w:val="008C5780"/>
    <w:rsid w:val="008C5801"/>
    <w:rsid w:val="008C5F89"/>
    <w:rsid w:val="008C6790"/>
    <w:rsid w:val="008D0637"/>
    <w:rsid w:val="008D169F"/>
    <w:rsid w:val="008D1D6F"/>
    <w:rsid w:val="008D257D"/>
    <w:rsid w:val="008D2F17"/>
    <w:rsid w:val="008D3F8E"/>
    <w:rsid w:val="008D4ED6"/>
    <w:rsid w:val="008D5926"/>
    <w:rsid w:val="008D597B"/>
    <w:rsid w:val="008D681F"/>
    <w:rsid w:val="008D71B7"/>
    <w:rsid w:val="008E281C"/>
    <w:rsid w:val="008E2AA0"/>
    <w:rsid w:val="008E516D"/>
    <w:rsid w:val="008E6B02"/>
    <w:rsid w:val="008E6F79"/>
    <w:rsid w:val="008E72BA"/>
    <w:rsid w:val="008E78BE"/>
    <w:rsid w:val="008E7BE6"/>
    <w:rsid w:val="008E7C2D"/>
    <w:rsid w:val="008F2F79"/>
    <w:rsid w:val="008F3DCB"/>
    <w:rsid w:val="008F4A42"/>
    <w:rsid w:val="008F7227"/>
    <w:rsid w:val="008F7671"/>
    <w:rsid w:val="008F7EA0"/>
    <w:rsid w:val="00900A84"/>
    <w:rsid w:val="00901C1B"/>
    <w:rsid w:val="009020D4"/>
    <w:rsid w:val="00903B95"/>
    <w:rsid w:val="00903CD6"/>
    <w:rsid w:val="00904E2B"/>
    <w:rsid w:val="00906140"/>
    <w:rsid w:val="00906285"/>
    <w:rsid w:val="00907970"/>
    <w:rsid w:val="00911461"/>
    <w:rsid w:val="00912034"/>
    <w:rsid w:val="00912153"/>
    <w:rsid w:val="00914168"/>
    <w:rsid w:val="0091720A"/>
    <w:rsid w:val="009222B9"/>
    <w:rsid w:val="00922A3D"/>
    <w:rsid w:val="00922A58"/>
    <w:rsid w:val="009261AD"/>
    <w:rsid w:val="00926984"/>
    <w:rsid w:val="00930526"/>
    <w:rsid w:val="009316A8"/>
    <w:rsid w:val="00931D74"/>
    <w:rsid w:val="00931EBA"/>
    <w:rsid w:val="00934260"/>
    <w:rsid w:val="009342EE"/>
    <w:rsid w:val="00935823"/>
    <w:rsid w:val="00936A07"/>
    <w:rsid w:val="00937FCB"/>
    <w:rsid w:val="009434B7"/>
    <w:rsid w:val="00945CC5"/>
    <w:rsid w:val="00946A07"/>
    <w:rsid w:val="00957EAD"/>
    <w:rsid w:val="00960938"/>
    <w:rsid w:val="00962EFE"/>
    <w:rsid w:val="00962F90"/>
    <w:rsid w:val="00971770"/>
    <w:rsid w:val="00972020"/>
    <w:rsid w:val="009722FE"/>
    <w:rsid w:val="0097293F"/>
    <w:rsid w:val="00977D67"/>
    <w:rsid w:val="00982354"/>
    <w:rsid w:val="00983B15"/>
    <w:rsid w:val="0098583A"/>
    <w:rsid w:val="009936B7"/>
    <w:rsid w:val="0099378F"/>
    <w:rsid w:val="009946C8"/>
    <w:rsid w:val="009963CF"/>
    <w:rsid w:val="0099791C"/>
    <w:rsid w:val="009A0715"/>
    <w:rsid w:val="009A1949"/>
    <w:rsid w:val="009A21FD"/>
    <w:rsid w:val="009A349A"/>
    <w:rsid w:val="009A479F"/>
    <w:rsid w:val="009A4EE9"/>
    <w:rsid w:val="009A5917"/>
    <w:rsid w:val="009A5C60"/>
    <w:rsid w:val="009A6BAB"/>
    <w:rsid w:val="009A7214"/>
    <w:rsid w:val="009A7CA3"/>
    <w:rsid w:val="009B0819"/>
    <w:rsid w:val="009B0E98"/>
    <w:rsid w:val="009B1E07"/>
    <w:rsid w:val="009B32CA"/>
    <w:rsid w:val="009B54E6"/>
    <w:rsid w:val="009B7635"/>
    <w:rsid w:val="009C0B37"/>
    <w:rsid w:val="009C14B1"/>
    <w:rsid w:val="009C2318"/>
    <w:rsid w:val="009C28B1"/>
    <w:rsid w:val="009C4ACD"/>
    <w:rsid w:val="009C6798"/>
    <w:rsid w:val="009C7294"/>
    <w:rsid w:val="009C73B4"/>
    <w:rsid w:val="009C77EB"/>
    <w:rsid w:val="009D0CF2"/>
    <w:rsid w:val="009D0FF5"/>
    <w:rsid w:val="009D1E67"/>
    <w:rsid w:val="009D2756"/>
    <w:rsid w:val="009D4257"/>
    <w:rsid w:val="009E130C"/>
    <w:rsid w:val="009E238C"/>
    <w:rsid w:val="009E2B6B"/>
    <w:rsid w:val="009E4304"/>
    <w:rsid w:val="009E7790"/>
    <w:rsid w:val="009E7E02"/>
    <w:rsid w:val="009E7F1F"/>
    <w:rsid w:val="009F3B2E"/>
    <w:rsid w:val="009F42CD"/>
    <w:rsid w:val="009F5F29"/>
    <w:rsid w:val="009F782B"/>
    <w:rsid w:val="00A001A9"/>
    <w:rsid w:val="00A06A64"/>
    <w:rsid w:val="00A11F7D"/>
    <w:rsid w:val="00A12E44"/>
    <w:rsid w:val="00A140C6"/>
    <w:rsid w:val="00A14A83"/>
    <w:rsid w:val="00A22435"/>
    <w:rsid w:val="00A23294"/>
    <w:rsid w:val="00A234BE"/>
    <w:rsid w:val="00A251C6"/>
    <w:rsid w:val="00A263AF"/>
    <w:rsid w:val="00A26526"/>
    <w:rsid w:val="00A26FBF"/>
    <w:rsid w:val="00A304A9"/>
    <w:rsid w:val="00A323BE"/>
    <w:rsid w:val="00A33BCE"/>
    <w:rsid w:val="00A34FC6"/>
    <w:rsid w:val="00A3564A"/>
    <w:rsid w:val="00A379FF"/>
    <w:rsid w:val="00A37FD8"/>
    <w:rsid w:val="00A40894"/>
    <w:rsid w:val="00A41668"/>
    <w:rsid w:val="00A448E0"/>
    <w:rsid w:val="00A50654"/>
    <w:rsid w:val="00A51CAB"/>
    <w:rsid w:val="00A53691"/>
    <w:rsid w:val="00A54746"/>
    <w:rsid w:val="00A55365"/>
    <w:rsid w:val="00A60144"/>
    <w:rsid w:val="00A61838"/>
    <w:rsid w:val="00A61A0C"/>
    <w:rsid w:val="00A64655"/>
    <w:rsid w:val="00A64A8E"/>
    <w:rsid w:val="00A65034"/>
    <w:rsid w:val="00A66D30"/>
    <w:rsid w:val="00A67D26"/>
    <w:rsid w:val="00A703B9"/>
    <w:rsid w:val="00A70B14"/>
    <w:rsid w:val="00A7116D"/>
    <w:rsid w:val="00A7241B"/>
    <w:rsid w:val="00A728AE"/>
    <w:rsid w:val="00A731C5"/>
    <w:rsid w:val="00A75DCB"/>
    <w:rsid w:val="00A77470"/>
    <w:rsid w:val="00A82744"/>
    <w:rsid w:val="00A827BC"/>
    <w:rsid w:val="00A82C2D"/>
    <w:rsid w:val="00A8613A"/>
    <w:rsid w:val="00A8613E"/>
    <w:rsid w:val="00A91412"/>
    <w:rsid w:val="00A926C0"/>
    <w:rsid w:val="00A92C55"/>
    <w:rsid w:val="00A934F6"/>
    <w:rsid w:val="00A93EC7"/>
    <w:rsid w:val="00A94145"/>
    <w:rsid w:val="00A96485"/>
    <w:rsid w:val="00AA013B"/>
    <w:rsid w:val="00AA0B54"/>
    <w:rsid w:val="00AA0D34"/>
    <w:rsid w:val="00AA44BB"/>
    <w:rsid w:val="00AA47FB"/>
    <w:rsid w:val="00AA626E"/>
    <w:rsid w:val="00AA6847"/>
    <w:rsid w:val="00AA6BF2"/>
    <w:rsid w:val="00AA76AF"/>
    <w:rsid w:val="00AB02E3"/>
    <w:rsid w:val="00AB1EC9"/>
    <w:rsid w:val="00AB5E51"/>
    <w:rsid w:val="00AB64E4"/>
    <w:rsid w:val="00AB6805"/>
    <w:rsid w:val="00AB7698"/>
    <w:rsid w:val="00AB7E28"/>
    <w:rsid w:val="00AC0A33"/>
    <w:rsid w:val="00AC2A64"/>
    <w:rsid w:val="00AC3FF6"/>
    <w:rsid w:val="00AC4B59"/>
    <w:rsid w:val="00AC6146"/>
    <w:rsid w:val="00AC6915"/>
    <w:rsid w:val="00AD083F"/>
    <w:rsid w:val="00AD0FB8"/>
    <w:rsid w:val="00AD1B86"/>
    <w:rsid w:val="00AD1BD7"/>
    <w:rsid w:val="00AD279F"/>
    <w:rsid w:val="00AD2C7B"/>
    <w:rsid w:val="00AD4F63"/>
    <w:rsid w:val="00AE0F50"/>
    <w:rsid w:val="00AE4556"/>
    <w:rsid w:val="00AE5520"/>
    <w:rsid w:val="00AE73B6"/>
    <w:rsid w:val="00AE7E6E"/>
    <w:rsid w:val="00AE7F66"/>
    <w:rsid w:val="00AF06B7"/>
    <w:rsid w:val="00AF1B1B"/>
    <w:rsid w:val="00AF1EDA"/>
    <w:rsid w:val="00AF2C44"/>
    <w:rsid w:val="00AF3273"/>
    <w:rsid w:val="00AF5C4B"/>
    <w:rsid w:val="00AF639B"/>
    <w:rsid w:val="00AF6A82"/>
    <w:rsid w:val="00B03A22"/>
    <w:rsid w:val="00B03FC5"/>
    <w:rsid w:val="00B04144"/>
    <w:rsid w:val="00B0467E"/>
    <w:rsid w:val="00B05A35"/>
    <w:rsid w:val="00B06C2F"/>
    <w:rsid w:val="00B07EEE"/>
    <w:rsid w:val="00B12FA3"/>
    <w:rsid w:val="00B131B4"/>
    <w:rsid w:val="00B139E5"/>
    <w:rsid w:val="00B13D53"/>
    <w:rsid w:val="00B16BF1"/>
    <w:rsid w:val="00B208D9"/>
    <w:rsid w:val="00B22315"/>
    <w:rsid w:val="00B30CDC"/>
    <w:rsid w:val="00B30D59"/>
    <w:rsid w:val="00B31528"/>
    <w:rsid w:val="00B31837"/>
    <w:rsid w:val="00B33372"/>
    <w:rsid w:val="00B338A1"/>
    <w:rsid w:val="00B33EDF"/>
    <w:rsid w:val="00B34A1E"/>
    <w:rsid w:val="00B352BD"/>
    <w:rsid w:val="00B36519"/>
    <w:rsid w:val="00B36E0E"/>
    <w:rsid w:val="00B40DFE"/>
    <w:rsid w:val="00B42C94"/>
    <w:rsid w:val="00B4344D"/>
    <w:rsid w:val="00B50A58"/>
    <w:rsid w:val="00B51EF7"/>
    <w:rsid w:val="00B566B7"/>
    <w:rsid w:val="00B5799F"/>
    <w:rsid w:val="00B60B10"/>
    <w:rsid w:val="00B61B63"/>
    <w:rsid w:val="00B61E6C"/>
    <w:rsid w:val="00B660B2"/>
    <w:rsid w:val="00B7012E"/>
    <w:rsid w:val="00B70758"/>
    <w:rsid w:val="00B72FDB"/>
    <w:rsid w:val="00B753CB"/>
    <w:rsid w:val="00B755CD"/>
    <w:rsid w:val="00B759DC"/>
    <w:rsid w:val="00B80FC2"/>
    <w:rsid w:val="00B83250"/>
    <w:rsid w:val="00B83AC6"/>
    <w:rsid w:val="00B83BFB"/>
    <w:rsid w:val="00B855A5"/>
    <w:rsid w:val="00B86868"/>
    <w:rsid w:val="00B9202C"/>
    <w:rsid w:val="00B928EE"/>
    <w:rsid w:val="00B9411C"/>
    <w:rsid w:val="00B96C08"/>
    <w:rsid w:val="00BA005E"/>
    <w:rsid w:val="00BA0763"/>
    <w:rsid w:val="00BA4242"/>
    <w:rsid w:val="00BA4D2F"/>
    <w:rsid w:val="00BA67DA"/>
    <w:rsid w:val="00BA68B0"/>
    <w:rsid w:val="00BA7F61"/>
    <w:rsid w:val="00BB0152"/>
    <w:rsid w:val="00BB0F63"/>
    <w:rsid w:val="00BB2FB1"/>
    <w:rsid w:val="00BB656F"/>
    <w:rsid w:val="00BB7D24"/>
    <w:rsid w:val="00BC0885"/>
    <w:rsid w:val="00BC10C7"/>
    <w:rsid w:val="00BC1679"/>
    <w:rsid w:val="00BC1F1B"/>
    <w:rsid w:val="00BC4C32"/>
    <w:rsid w:val="00BD040A"/>
    <w:rsid w:val="00BD2C15"/>
    <w:rsid w:val="00BD718F"/>
    <w:rsid w:val="00BE023F"/>
    <w:rsid w:val="00BE1281"/>
    <w:rsid w:val="00BE2B3B"/>
    <w:rsid w:val="00BE39DD"/>
    <w:rsid w:val="00BE5B5D"/>
    <w:rsid w:val="00BE6758"/>
    <w:rsid w:val="00BE6CAF"/>
    <w:rsid w:val="00BE77DF"/>
    <w:rsid w:val="00BF0B65"/>
    <w:rsid w:val="00BF208C"/>
    <w:rsid w:val="00BF2970"/>
    <w:rsid w:val="00BF3F27"/>
    <w:rsid w:val="00BF4368"/>
    <w:rsid w:val="00BF549A"/>
    <w:rsid w:val="00BF791B"/>
    <w:rsid w:val="00C0019C"/>
    <w:rsid w:val="00C04465"/>
    <w:rsid w:val="00C05370"/>
    <w:rsid w:val="00C10822"/>
    <w:rsid w:val="00C1117E"/>
    <w:rsid w:val="00C12BB2"/>
    <w:rsid w:val="00C13B46"/>
    <w:rsid w:val="00C14B11"/>
    <w:rsid w:val="00C16BCF"/>
    <w:rsid w:val="00C16DCC"/>
    <w:rsid w:val="00C16FA5"/>
    <w:rsid w:val="00C2008A"/>
    <w:rsid w:val="00C21D5B"/>
    <w:rsid w:val="00C234D4"/>
    <w:rsid w:val="00C23E1A"/>
    <w:rsid w:val="00C2694D"/>
    <w:rsid w:val="00C27B99"/>
    <w:rsid w:val="00C321A5"/>
    <w:rsid w:val="00C32411"/>
    <w:rsid w:val="00C33338"/>
    <w:rsid w:val="00C33D80"/>
    <w:rsid w:val="00C3439B"/>
    <w:rsid w:val="00C345AB"/>
    <w:rsid w:val="00C362D9"/>
    <w:rsid w:val="00C367B7"/>
    <w:rsid w:val="00C40B8C"/>
    <w:rsid w:val="00C40D8B"/>
    <w:rsid w:val="00C41801"/>
    <w:rsid w:val="00C42532"/>
    <w:rsid w:val="00C45153"/>
    <w:rsid w:val="00C46BDD"/>
    <w:rsid w:val="00C475E8"/>
    <w:rsid w:val="00C47B17"/>
    <w:rsid w:val="00C51C07"/>
    <w:rsid w:val="00C526B7"/>
    <w:rsid w:val="00C53B9A"/>
    <w:rsid w:val="00C56F72"/>
    <w:rsid w:val="00C62BE7"/>
    <w:rsid w:val="00C6436F"/>
    <w:rsid w:val="00C652DA"/>
    <w:rsid w:val="00C70F6D"/>
    <w:rsid w:val="00C71DA8"/>
    <w:rsid w:val="00C7244E"/>
    <w:rsid w:val="00C7781D"/>
    <w:rsid w:val="00C77DA6"/>
    <w:rsid w:val="00C8192B"/>
    <w:rsid w:val="00C81F0C"/>
    <w:rsid w:val="00C82405"/>
    <w:rsid w:val="00C842B3"/>
    <w:rsid w:val="00C85B5C"/>
    <w:rsid w:val="00C87707"/>
    <w:rsid w:val="00C90241"/>
    <w:rsid w:val="00C9395D"/>
    <w:rsid w:val="00C9786B"/>
    <w:rsid w:val="00C97B7F"/>
    <w:rsid w:val="00CA2917"/>
    <w:rsid w:val="00CA293B"/>
    <w:rsid w:val="00CA6077"/>
    <w:rsid w:val="00CA7237"/>
    <w:rsid w:val="00CA72DB"/>
    <w:rsid w:val="00CA75B6"/>
    <w:rsid w:val="00CA77E5"/>
    <w:rsid w:val="00CB11B2"/>
    <w:rsid w:val="00CB14AB"/>
    <w:rsid w:val="00CB419E"/>
    <w:rsid w:val="00CB5F37"/>
    <w:rsid w:val="00CB6AC5"/>
    <w:rsid w:val="00CC08DC"/>
    <w:rsid w:val="00CC2145"/>
    <w:rsid w:val="00CC42C7"/>
    <w:rsid w:val="00CC5D63"/>
    <w:rsid w:val="00CC6EA8"/>
    <w:rsid w:val="00CC7B09"/>
    <w:rsid w:val="00CD009F"/>
    <w:rsid w:val="00CD1C9A"/>
    <w:rsid w:val="00CD1FED"/>
    <w:rsid w:val="00CD2DBA"/>
    <w:rsid w:val="00CD4EA9"/>
    <w:rsid w:val="00CD6841"/>
    <w:rsid w:val="00CD7873"/>
    <w:rsid w:val="00CD7951"/>
    <w:rsid w:val="00CE06F2"/>
    <w:rsid w:val="00CE3C63"/>
    <w:rsid w:val="00CE41F6"/>
    <w:rsid w:val="00CE5389"/>
    <w:rsid w:val="00CE547E"/>
    <w:rsid w:val="00CF00A3"/>
    <w:rsid w:val="00CF0AEE"/>
    <w:rsid w:val="00CF1389"/>
    <w:rsid w:val="00CF2FED"/>
    <w:rsid w:val="00CF383E"/>
    <w:rsid w:val="00CF619E"/>
    <w:rsid w:val="00CF6245"/>
    <w:rsid w:val="00CF7865"/>
    <w:rsid w:val="00CF7F44"/>
    <w:rsid w:val="00CF7F57"/>
    <w:rsid w:val="00D00D05"/>
    <w:rsid w:val="00D02FDC"/>
    <w:rsid w:val="00D034AD"/>
    <w:rsid w:val="00D11AD1"/>
    <w:rsid w:val="00D15E17"/>
    <w:rsid w:val="00D16C65"/>
    <w:rsid w:val="00D22F8B"/>
    <w:rsid w:val="00D23411"/>
    <w:rsid w:val="00D23BC1"/>
    <w:rsid w:val="00D2477D"/>
    <w:rsid w:val="00D25A41"/>
    <w:rsid w:val="00D25B07"/>
    <w:rsid w:val="00D26C85"/>
    <w:rsid w:val="00D31469"/>
    <w:rsid w:val="00D31CE1"/>
    <w:rsid w:val="00D34C3D"/>
    <w:rsid w:val="00D36E7C"/>
    <w:rsid w:val="00D407BA"/>
    <w:rsid w:val="00D43900"/>
    <w:rsid w:val="00D43E44"/>
    <w:rsid w:val="00D4423D"/>
    <w:rsid w:val="00D45885"/>
    <w:rsid w:val="00D469B0"/>
    <w:rsid w:val="00D4713F"/>
    <w:rsid w:val="00D5151B"/>
    <w:rsid w:val="00D515D3"/>
    <w:rsid w:val="00D51A6D"/>
    <w:rsid w:val="00D52055"/>
    <w:rsid w:val="00D52562"/>
    <w:rsid w:val="00D52D64"/>
    <w:rsid w:val="00D551F2"/>
    <w:rsid w:val="00D55694"/>
    <w:rsid w:val="00D56693"/>
    <w:rsid w:val="00D567C1"/>
    <w:rsid w:val="00D60BCF"/>
    <w:rsid w:val="00D6124B"/>
    <w:rsid w:val="00D61799"/>
    <w:rsid w:val="00D61919"/>
    <w:rsid w:val="00D64867"/>
    <w:rsid w:val="00D6500E"/>
    <w:rsid w:val="00D7194F"/>
    <w:rsid w:val="00D7362C"/>
    <w:rsid w:val="00D75965"/>
    <w:rsid w:val="00D76682"/>
    <w:rsid w:val="00D766D0"/>
    <w:rsid w:val="00D833AD"/>
    <w:rsid w:val="00D83D78"/>
    <w:rsid w:val="00D87DCD"/>
    <w:rsid w:val="00D90217"/>
    <w:rsid w:val="00D9176D"/>
    <w:rsid w:val="00D939BE"/>
    <w:rsid w:val="00D943A7"/>
    <w:rsid w:val="00D9486F"/>
    <w:rsid w:val="00D963DE"/>
    <w:rsid w:val="00D97120"/>
    <w:rsid w:val="00D97D21"/>
    <w:rsid w:val="00DA3E09"/>
    <w:rsid w:val="00DA3F99"/>
    <w:rsid w:val="00DA4876"/>
    <w:rsid w:val="00DA4D73"/>
    <w:rsid w:val="00DA60A0"/>
    <w:rsid w:val="00DA7926"/>
    <w:rsid w:val="00DB0160"/>
    <w:rsid w:val="00DB3352"/>
    <w:rsid w:val="00DB439C"/>
    <w:rsid w:val="00DB4639"/>
    <w:rsid w:val="00DB4D83"/>
    <w:rsid w:val="00DB618B"/>
    <w:rsid w:val="00DB6E50"/>
    <w:rsid w:val="00DB6EE4"/>
    <w:rsid w:val="00DB70C2"/>
    <w:rsid w:val="00DB733A"/>
    <w:rsid w:val="00DC147F"/>
    <w:rsid w:val="00DC2FCB"/>
    <w:rsid w:val="00DC3C81"/>
    <w:rsid w:val="00DC6271"/>
    <w:rsid w:val="00DC6712"/>
    <w:rsid w:val="00DC690E"/>
    <w:rsid w:val="00DD0B06"/>
    <w:rsid w:val="00DD0F5F"/>
    <w:rsid w:val="00DD4FA2"/>
    <w:rsid w:val="00DD56C8"/>
    <w:rsid w:val="00DD5FC6"/>
    <w:rsid w:val="00DD66E8"/>
    <w:rsid w:val="00DD6BDC"/>
    <w:rsid w:val="00DD6D5B"/>
    <w:rsid w:val="00DD7B1F"/>
    <w:rsid w:val="00DE0C31"/>
    <w:rsid w:val="00DE37AF"/>
    <w:rsid w:val="00DE7350"/>
    <w:rsid w:val="00DE75CA"/>
    <w:rsid w:val="00DE7C0A"/>
    <w:rsid w:val="00DF04D3"/>
    <w:rsid w:val="00DF1356"/>
    <w:rsid w:val="00DF15CD"/>
    <w:rsid w:val="00DF1CBE"/>
    <w:rsid w:val="00DF2380"/>
    <w:rsid w:val="00DF4020"/>
    <w:rsid w:val="00E00281"/>
    <w:rsid w:val="00E02919"/>
    <w:rsid w:val="00E03C51"/>
    <w:rsid w:val="00E0474C"/>
    <w:rsid w:val="00E079EB"/>
    <w:rsid w:val="00E10EE9"/>
    <w:rsid w:val="00E11BDB"/>
    <w:rsid w:val="00E2501C"/>
    <w:rsid w:val="00E27972"/>
    <w:rsid w:val="00E3141E"/>
    <w:rsid w:val="00E33703"/>
    <w:rsid w:val="00E34B0E"/>
    <w:rsid w:val="00E41B31"/>
    <w:rsid w:val="00E4278C"/>
    <w:rsid w:val="00E444AD"/>
    <w:rsid w:val="00E46944"/>
    <w:rsid w:val="00E46FC2"/>
    <w:rsid w:val="00E50477"/>
    <w:rsid w:val="00E5285A"/>
    <w:rsid w:val="00E5345B"/>
    <w:rsid w:val="00E56314"/>
    <w:rsid w:val="00E5640E"/>
    <w:rsid w:val="00E57C16"/>
    <w:rsid w:val="00E57E30"/>
    <w:rsid w:val="00E61B20"/>
    <w:rsid w:val="00E659F2"/>
    <w:rsid w:val="00E65D68"/>
    <w:rsid w:val="00E665A8"/>
    <w:rsid w:val="00E71581"/>
    <w:rsid w:val="00E740AE"/>
    <w:rsid w:val="00E7480B"/>
    <w:rsid w:val="00E764F8"/>
    <w:rsid w:val="00E770CB"/>
    <w:rsid w:val="00E77C54"/>
    <w:rsid w:val="00E801ED"/>
    <w:rsid w:val="00E80C3B"/>
    <w:rsid w:val="00E82CAF"/>
    <w:rsid w:val="00E84C0E"/>
    <w:rsid w:val="00E84F95"/>
    <w:rsid w:val="00E85082"/>
    <w:rsid w:val="00E85820"/>
    <w:rsid w:val="00E86176"/>
    <w:rsid w:val="00E86AC2"/>
    <w:rsid w:val="00E87F78"/>
    <w:rsid w:val="00E91809"/>
    <w:rsid w:val="00E9305D"/>
    <w:rsid w:val="00E93582"/>
    <w:rsid w:val="00E93B72"/>
    <w:rsid w:val="00E958D5"/>
    <w:rsid w:val="00E966A5"/>
    <w:rsid w:val="00E96D29"/>
    <w:rsid w:val="00E97709"/>
    <w:rsid w:val="00EA1B40"/>
    <w:rsid w:val="00EA2142"/>
    <w:rsid w:val="00EA3E17"/>
    <w:rsid w:val="00EA413E"/>
    <w:rsid w:val="00EA4C2D"/>
    <w:rsid w:val="00EA51FE"/>
    <w:rsid w:val="00EA5753"/>
    <w:rsid w:val="00EB0588"/>
    <w:rsid w:val="00EB1DFD"/>
    <w:rsid w:val="00EB1E40"/>
    <w:rsid w:val="00EB3011"/>
    <w:rsid w:val="00EB4950"/>
    <w:rsid w:val="00EB530C"/>
    <w:rsid w:val="00EB5BD6"/>
    <w:rsid w:val="00EC02C0"/>
    <w:rsid w:val="00EC05EE"/>
    <w:rsid w:val="00EC0FD7"/>
    <w:rsid w:val="00EC32AF"/>
    <w:rsid w:val="00EC3578"/>
    <w:rsid w:val="00EC36A7"/>
    <w:rsid w:val="00EC38E2"/>
    <w:rsid w:val="00EC393E"/>
    <w:rsid w:val="00EC6855"/>
    <w:rsid w:val="00ED052D"/>
    <w:rsid w:val="00ED0C1C"/>
    <w:rsid w:val="00ED3CB2"/>
    <w:rsid w:val="00ED4BE0"/>
    <w:rsid w:val="00ED4CA8"/>
    <w:rsid w:val="00ED4FAB"/>
    <w:rsid w:val="00ED7156"/>
    <w:rsid w:val="00ED72A8"/>
    <w:rsid w:val="00EE0CF7"/>
    <w:rsid w:val="00EE1691"/>
    <w:rsid w:val="00EE1B88"/>
    <w:rsid w:val="00EE2D98"/>
    <w:rsid w:val="00EE34B6"/>
    <w:rsid w:val="00EE5DA0"/>
    <w:rsid w:val="00EE5EB4"/>
    <w:rsid w:val="00EE68EE"/>
    <w:rsid w:val="00EE7A9A"/>
    <w:rsid w:val="00EF1373"/>
    <w:rsid w:val="00EF2926"/>
    <w:rsid w:val="00EF2ACE"/>
    <w:rsid w:val="00EF2D2E"/>
    <w:rsid w:val="00EF3116"/>
    <w:rsid w:val="00EF3482"/>
    <w:rsid w:val="00EF3551"/>
    <w:rsid w:val="00EF3DBA"/>
    <w:rsid w:val="00EF4A42"/>
    <w:rsid w:val="00EF4D13"/>
    <w:rsid w:val="00EF5E77"/>
    <w:rsid w:val="00EF6F32"/>
    <w:rsid w:val="00EF7A0A"/>
    <w:rsid w:val="00EF7EA5"/>
    <w:rsid w:val="00F004A8"/>
    <w:rsid w:val="00F01598"/>
    <w:rsid w:val="00F016B3"/>
    <w:rsid w:val="00F06B36"/>
    <w:rsid w:val="00F07170"/>
    <w:rsid w:val="00F07D33"/>
    <w:rsid w:val="00F10679"/>
    <w:rsid w:val="00F140AD"/>
    <w:rsid w:val="00F15859"/>
    <w:rsid w:val="00F165CE"/>
    <w:rsid w:val="00F1736A"/>
    <w:rsid w:val="00F17639"/>
    <w:rsid w:val="00F21068"/>
    <w:rsid w:val="00F2121C"/>
    <w:rsid w:val="00F212CB"/>
    <w:rsid w:val="00F2145D"/>
    <w:rsid w:val="00F23B02"/>
    <w:rsid w:val="00F25868"/>
    <w:rsid w:val="00F26515"/>
    <w:rsid w:val="00F277DE"/>
    <w:rsid w:val="00F27CF6"/>
    <w:rsid w:val="00F305F3"/>
    <w:rsid w:val="00F30D1A"/>
    <w:rsid w:val="00F32510"/>
    <w:rsid w:val="00F345EE"/>
    <w:rsid w:val="00F356A9"/>
    <w:rsid w:val="00F359E7"/>
    <w:rsid w:val="00F35FED"/>
    <w:rsid w:val="00F420AF"/>
    <w:rsid w:val="00F42667"/>
    <w:rsid w:val="00F4331C"/>
    <w:rsid w:val="00F433A8"/>
    <w:rsid w:val="00F43A43"/>
    <w:rsid w:val="00F4442B"/>
    <w:rsid w:val="00F46084"/>
    <w:rsid w:val="00F47444"/>
    <w:rsid w:val="00F47516"/>
    <w:rsid w:val="00F4757E"/>
    <w:rsid w:val="00F50A6D"/>
    <w:rsid w:val="00F514D1"/>
    <w:rsid w:val="00F51EB2"/>
    <w:rsid w:val="00F54108"/>
    <w:rsid w:val="00F57E25"/>
    <w:rsid w:val="00F60169"/>
    <w:rsid w:val="00F60F25"/>
    <w:rsid w:val="00F61A9C"/>
    <w:rsid w:val="00F62110"/>
    <w:rsid w:val="00F62A00"/>
    <w:rsid w:val="00F62B0F"/>
    <w:rsid w:val="00F63589"/>
    <w:rsid w:val="00F64210"/>
    <w:rsid w:val="00F64322"/>
    <w:rsid w:val="00F650D8"/>
    <w:rsid w:val="00F66A14"/>
    <w:rsid w:val="00F66B1D"/>
    <w:rsid w:val="00F66D46"/>
    <w:rsid w:val="00F67240"/>
    <w:rsid w:val="00F7088B"/>
    <w:rsid w:val="00F70F3B"/>
    <w:rsid w:val="00F73C95"/>
    <w:rsid w:val="00F74BCF"/>
    <w:rsid w:val="00F76445"/>
    <w:rsid w:val="00F80655"/>
    <w:rsid w:val="00F816C5"/>
    <w:rsid w:val="00F838B8"/>
    <w:rsid w:val="00F83E17"/>
    <w:rsid w:val="00F841A7"/>
    <w:rsid w:val="00F90498"/>
    <w:rsid w:val="00F90D36"/>
    <w:rsid w:val="00F964F4"/>
    <w:rsid w:val="00F96F2D"/>
    <w:rsid w:val="00F9734D"/>
    <w:rsid w:val="00F977CE"/>
    <w:rsid w:val="00FA2B6F"/>
    <w:rsid w:val="00FA4C96"/>
    <w:rsid w:val="00FA5EF8"/>
    <w:rsid w:val="00FA66F9"/>
    <w:rsid w:val="00FB0B6E"/>
    <w:rsid w:val="00FB24AE"/>
    <w:rsid w:val="00FB341A"/>
    <w:rsid w:val="00FB5B10"/>
    <w:rsid w:val="00FC02CD"/>
    <w:rsid w:val="00FC0A07"/>
    <w:rsid w:val="00FC1F81"/>
    <w:rsid w:val="00FC35BA"/>
    <w:rsid w:val="00FC4486"/>
    <w:rsid w:val="00FC4561"/>
    <w:rsid w:val="00FC4A38"/>
    <w:rsid w:val="00FC50FB"/>
    <w:rsid w:val="00FC5C53"/>
    <w:rsid w:val="00FC6F32"/>
    <w:rsid w:val="00FC7E90"/>
    <w:rsid w:val="00FD0844"/>
    <w:rsid w:val="00FD13B1"/>
    <w:rsid w:val="00FD2F59"/>
    <w:rsid w:val="00FD38DE"/>
    <w:rsid w:val="00FD5D89"/>
    <w:rsid w:val="00FD6B9A"/>
    <w:rsid w:val="00FD7BEA"/>
    <w:rsid w:val="00FE0011"/>
    <w:rsid w:val="00FE05EB"/>
    <w:rsid w:val="00FE1E05"/>
    <w:rsid w:val="00FE3336"/>
    <w:rsid w:val="00FE4676"/>
    <w:rsid w:val="00FE76CB"/>
    <w:rsid w:val="00FF135A"/>
    <w:rsid w:val="00FF170E"/>
    <w:rsid w:val="00FF2F1D"/>
    <w:rsid w:val="00FF5716"/>
    <w:rsid w:val="00FF7A47"/>
    <w:rsid w:val="3F686F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strokecolor="none [3215]">
      <v:stroke color="none [3215]" weight="1pt"/>
    </o:shapedefaults>
    <o:shapelayout v:ext="edit">
      <o:idmap v:ext="edit" data="1"/>
    </o:shapelayout>
  </w:shapeDefaults>
  <w:decimalSymbol w:val="."/>
  <w:listSeparator w:val=","/>
  <w14:docId w14:val="49640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nhideWhenUsed="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BD5"/>
    <w:rPr>
      <w:lang w:val="en-GB"/>
    </w:rPr>
  </w:style>
  <w:style w:type="paragraph" w:styleId="Heading1">
    <w:name w:val="heading 1"/>
    <w:basedOn w:val="Normal"/>
    <w:next w:val="Normal"/>
    <w:link w:val="Heading1Char"/>
    <w:uiPriority w:val="9"/>
    <w:qFormat/>
    <w:rsid w:val="004B6993"/>
    <w:pPr>
      <w:keepNext/>
      <w:keepLines/>
      <w:spacing w:before="480"/>
      <w:outlineLvl w:val="0"/>
    </w:pPr>
    <w:rPr>
      <w:rFonts w:asciiTheme="majorHAnsi" w:eastAsiaTheme="majorEastAsia" w:hAnsiTheme="majorHAnsi" w:cstheme="majorBidi"/>
      <w:b/>
      <w:bCs/>
      <w:color w:val="424477" w:themeColor="accent1" w:themeShade="BF"/>
      <w:sz w:val="28"/>
      <w:szCs w:val="28"/>
    </w:rPr>
  </w:style>
  <w:style w:type="paragraph" w:styleId="Heading2">
    <w:name w:val="heading 2"/>
    <w:basedOn w:val="Normal"/>
    <w:next w:val="Normal"/>
    <w:link w:val="Heading2Char"/>
    <w:uiPriority w:val="99"/>
    <w:qFormat/>
    <w:rsid w:val="000C0F52"/>
    <w:pPr>
      <w:keepNext/>
      <w:keepLines/>
      <w:numPr>
        <w:ilvl w:val="1"/>
        <w:numId w:val="31"/>
      </w:numPr>
      <w:spacing w:before="120" w:after="60"/>
      <w:jc w:val="both"/>
      <w:outlineLvl w:val="1"/>
    </w:pPr>
    <w:rPr>
      <w:rFonts w:ascii="Times New Roman" w:eastAsia="MS Mincho" w:hAnsi="Times New Roman" w:cs="Times New Roman"/>
      <w:i/>
      <w:iCs/>
      <w:noProof/>
    </w:rPr>
  </w:style>
  <w:style w:type="paragraph" w:styleId="Heading3">
    <w:name w:val="heading 3"/>
    <w:basedOn w:val="Normal"/>
    <w:next w:val="Normal"/>
    <w:link w:val="Heading3Char"/>
    <w:uiPriority w:val="99"/>
    <w:qFormat/>
    <w:rsid w:val="000C0F52"/>
    <w:pPr>
      <w:numPr>
        <w:ilvl w:val="2"/>
        <w:numId w:val="31"/>
      </w:numPr>
      <w:spacing w:after="120" w:line="240" w:lineRule="exact"/>
      <w:jc w:val="both"/>
      <w:outlineLvl w:val="2"/>
    </w:pPr>
    <w:rPr>
      <w:rFonts w:ascii="Times New Roman" w:eastAsia="MS Mincho" w:hAnsi="Times New Roman" w:cs="Times New Roman"/>
      <w:i/>
      <w:iCs/>
      <w:noProof/>
    </w:rPr>
  </w:style>
  <w:style w:type="paragraph" w:styleId="Heading4">
    <w:name w:val="heading 4"/>
    <w:basedOn w:val="Normal"/>
    <w:next w:val="Normal"/>
    <w:link w:val="Heading4Char"/>
    <w:uiPriority w:val="99"/>
    <w:qFormat/>
    <w:rsid w:val="000C0F52"/>
    <w:pPr>
      <w:numPr>
        <w:ilvl w:val="3"/>
        <w:numId w:val="31"/>
      </w:numPr>
      <w:tabs>
        <w:tab w:val="left" w:pos="821"/>
      </w:tabs>
      <w:spacing w:before="40" w:after="40"/>
      <w:jc w:val="both"/>
      <w:outlineLvl w:val="3"/>
    </w:pPr>
    <w:rPr>
      <w:rFonts w:ascii="Times New Roman" w:eastAsia="MS Mincho" w:hAnsi="Times New Roman" w:cs="Times New Roman"/>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regular">
    <w:name w:val="text regular"/>
    <w:basedOn w:val="Normal"/>
    <w:qFormat/>
    <w:rsid w:val="00F46084"/>
    <w:pPr>
      <w:spacing w:after="120"/>
    </w:pPr>
  </w:style>
  <w:style w:type="paragraph" w:styleId="Header">
    <w:name w:val="header"/>
    <w:basedOn w:val="Normal"/>
    <w:link w:val="HeaderChar"/>
    <w:uiPriority w:val="99"/>
    <w:unhideWhenUsed/>
    <w:rsid w:val="00B04144"/>
    <w:pPr>
      <w:tabs>
        <w:tab w:val="center" w:pos="4536"/>
        <w:tab w:val="right" w:pos="9072"/>
      </w:tabs>
    </w:pPr>
  </w:style>
  <w:style w:type="character" w:customStyle="1" w:styleId="HeaderChar">
    <w:name w:val="Header Char"/>
    <w:basedOn w:val="DefaultParagraphFont"/>
    <w:link w:val="Header"/>
    <w:uiPriority w:val="99"/>
    <w:rsid w:val="00B04144"/>
  </w:style>
  <w:style w:type="paragraph" w:styleId="Footer">
    <w:name w:val="footer"/>
    <w:basedOn w:val="Normal"/>
    <w:link w:val="FooterChar"/>
    <w:uiPriority w:val="99"/>
    <w:semiHidden/>
    <w:rsid w:val="00B04144"/>
    <w:pPr>
      <w:tabs>
        <w:tab w:val="center" w:pos="4536"/>
        <w:tab w:val="right" w:pos="9072"/>
      </w:tabs>
    </w:pPr>
  </w:style>
  <w:style w:type="character" w:customStyle="1" w:styleId="FooterChar">
    <w:name w:val="Footer Char"/>
    <w:basedOn w:val="DefaultParagraphFont"/>
    <w:link w:val="Footer"/>
    <w:uiPriority w:val="99"/>
    <w:semiHidden/>
    <w:rsid w:val="00CD009F"/>
    <w:rPr>
      <w:lang w:val="en-GB"/>
    </w:rPr>
  </w:style>
  <w:style w:type="paragraph" w:styleId="BalloonText">
    <w:name w:val="Balloon Text"/>
    <w:basedOn w:val="Normal"/>
    <w:link w:val="BalloonTextChar"/>
    <w:uiPriority w:val="99"/>
    <w:semiHidden/>
    <w:unhideWhenUsed/>
    <w:rsid w:val="00B04144"/>
    <w:rPr>
      <w:rFonts w:ascii="Tahoma" w:hAnsi="Tahoma" w:cs="Tahoma"/>
      <w:sz w:val="16"/>
      <w:szCs w:val="16"/>
    </w:rPr>
  </w:style>
  <w:style w:type="character" w:customStyle="1" w:styleId="BalloonTextChar">
    <w:name w:val="Balloon Text Char"/>
    <w:basedOn w:val="DefaultParagraphFont"/>
    <w:link w:val="BalloonText"/>
    <w:uiPriority w:val="99"/>
    <w:semiHidden/>
    <w:rsid w:val="00B04144"/>
    <w:rPr>
      <w:rFonts w:ascii="Tahoma" w:hAnsi="Tahoma" w:cs="Tahoma"/>
      <w:sz w:val="16"/>
      <w:szCs w:val="16"/>
    </w:rPr>
  </w:style>
  <w:style w:type="paragraph" w:customStyle="1" w:styleId="headlineheader">
    <w:name w:val="headline header"/>
    <w:basedOn w:val="textregular"/>
    <w:uiPriority w:val="1"/>
    <w:qFormat/>
    <w:rsid w:val="007A686E"/>
    <w:pPr>
      <w:spacing w:after="280" w:line="600" w:lineRule="exact"/>
    </w:pPr>
    <w:rPr>
      <w:rFonts w:asciiTheme="majorHAnsi" w:hAnsiTheme="majorHAnsi" w:cstheme="majorHAnsi"/>
      <w:b/>
      <w:color w:val="23236E" w:themeColor="text2"/>
      <w:sz w:val="57"/>
      <w:szCs w:val="57"/>
    </w:rPr>
  </w:style>
  <w:style w:type="paragraph" w:customStyle="1" w:styleId="textheader">
    <w:name w:val="text header"/>
    <w:basedOn w:val="textregular"/>
    <w:uiPriority w:val="1"/>
    <w:qFormat/>
    <w:rsid w:val="00B30D59"/>
    <w:pPr>
      <w:spacing w:after="400" w:line="500" w:lineRule="exact"/>
    </w:pPr>
    <w:rPr>
      <w:rFonts w:asciiTheme="majorHAnsi" w:hAnsiTheme="majorHAnsi" w:cstheme="majorHAnsi"/>
      <w:color w:val="23236E" w:themeColor="text2"/>
      <w:sz w:val="40"/>
      <w:szCs w:val="40"/>
      <w:lang w:val="en-US"/>
    </w:rPr>
  </w:style>
  <w:style w:type="paragraph" w:customStyle="1" w:styleId="time">
    <w:name w:val="time"/>
    <w:basedOn w:val="textregular"/>
    <w:uiPriority w:val="1"/>
    <w:qFormat/>
    <w:rsid w:val="007A686E"/>
    <w:pPr>
      <w:framePr w:hSpace="142" w:vSpace="5528" w:wrap="around" w:vAnchor="page" w:hAnchor="page" w:x="1362" w:y="5104"/>
      <w:spacing w:after="0" w:line="320" w:lineRule="exact"/>
    </w:pPr>
    <w:rPr>
      <w:rFonts w:asciiTheme="majorHAnsi" w:hAnsiTheme="majorHAnsi" w:cstheme="majorHAnsi"/>
      <w:sz w:val="29"/>
      <w:szCs w:val="29"/>
      <w:lang w:val="en-US"/>
    </w:rPr>
  </w:style>
  <w:style w:type="character" w:styleId="PlaceholderText">
    <w:name w:val="Placeholder Text"/>
    <w:basedOn w:val="DefaultParagraphFont"/>
    <w:uiPriority w:val="99"/>
    <w:semiHidden/>
    <w:rsid w:val="00903B95"/>
    <w:rPr>
      <w:color w:val="808080"/>
    </w:rPr>
  </w:style>
  <w:style w:type="paragraph" w:customStyle="1" w:styleId="headline1">
    <w:name w:val="headline 1"/>
    <w:basedOn w:val="textregular"/>
    <w:uiPriority w:val="2"/>
    <w:qFormat/>
    <w:rsid w:val="000F693C"/>
    <w:pPr>
      <w:spacing w:before="400" w:line="340" w:lineRule="exact"/>
      <w:outlineLvl w:val="0"/>
    </w:pPr>
    <w:rPr>
      <w:rFonts w:asciiTheme="majorHAnsi" w:hAnsiTheme="majorHAnsi" w:cstheme="majorHAnsi"/>
      <w:b/>
      <w:color w:val="23236E" w:themeColor="text2"/>
      <w:sz w:val="28"/>
      <w:szCs w:val="28"/>
    </w:rPr>
  </w:style>
  <w:style w:type="numbering" w:customStyle="1" w:styleId="XXXList">
    <w:name w:val="XXX_List"/>
    <w:basedOn w:val="NoList"/>
    <w:uiPriority w:val="99"/>
    <w:rsid w:val="00D9486F"/>
    <w:pPr>
      <w:numPr>
        <w:numId w:val="1"/>
      </w:numPr>
    </w:pPr>
  </w:style>
  <w:style w:type="character" w:customStyle="1" w:styleId="Heading1Char">
    <w:name w:val="Heading 1 Char"/>
    <w:basedOn w:val="DefaultParagraphFont"/>
    <w:link w:val="Heading1"/>
    <w:uiPriority w:val="9"/>
    <w:rsid w:val="004B6993"/>
    <w:rPr>
      <w:rFonts w:asciiTheme="majorHAnsi" w:eastAsiaTheme="majorEastAsia" w:hAnsiTheme="majorHAnsi" w:cstheme="majorBidi"/>
      <w:b/>
      <w:bCs/>
      <w:color w:val="424477" w:themeColor="accent1" w:themeShade="BF"/>
      <w:sz w:val="28"/>
      <w:szCs w:val="28"/>
    </w:rPr>
  </w:style>
  <w:style w:type="paragraph" w:styleId="TOC1">
    <w:name w:val="toc 1"/>
    <w:basedOn w:val="Normal"/>
    <w:next w:val="Normal"/>
    <w:autoRedefine/>
    <w:uiPriority w:val="39"/>
    <w:unhideWhenUsed/>
    <w:rsid w:val="00CC7B09"/>
    <w:pPr>
      <w:tabs>
        <w:tab w:val="right" w:leader="dot" w:pos="9514"/>
      </w:tabs>
      <w:spacing w:after="100"/>
    </w:pPr>
    <w:rPr>
      <w:rFonts w:asciiTheme="majorHAnsi" w:hAnsiTheme="majorHAnsi"/>
    </w:rPr>
  </w:style>
  <w:style w:type="paragraph" w:styleId="TOCHeading">
    <w:name w:val="TOC Heading"/>
    <w:basedOn w:val="Heading1"/>
    <w:next w:val="Normal"/>
    <w:uiPriority w:val="39"/>
    <w:semiHidden/>
    <w:unhideWhenUsed/>
    <w:qFormat/>
    <w:rsid w:val="004B6993"/>
    <w:pPr>
      <w:spacing w:line="276" w:lineRule="auto"/>
      <w:outlineLvl w:val="9"/>
    </w:pPr>
  </w:style>
  <w:style w:type="character" w:styleId="Hyperlink">
    <w:name w:val="Hyperlink"/>
    <w:basedOn w:val="DefaultParagraphFont"/>
    <w:uiPriority w:val="99"/>
    <w:rsid w:val="0099378F"/>
    <w:rPr>
      <w:color w:val="0000FF" w:themeColor="hyperlink"/>
      <w:u w:val="single"/>
    </w:rPr>
  </w:style>
  <w:style w:type="paragraph" w:customStyle="1" w:styleId="decisionhead">
    <w:name w:val="decision head"/>
    <w:basedOn w:val="textregular"/>
    <w:uiPriority w:val="3"/>
    <w:qFormat/>
    <w:rsid w:val="00CD009F"/>
    <w:pPr>
      <w:pBdr>
        <w:top w:val="single" w:sz="24" w:space="1" w:color="B4B4C8" w:themeColor="accent4"/>
        <w:left w:val="single" w:sz="24" w:space="4" w:color="B4B4C8" w:themeColor="accent4"/>
        <w:bottom w:val="single" w:sz="24" w:space="1" w:color="B4B4C8" w:themeColor="accent4"/>
        <w:right w:val="single" w:sz="24" w:space="4" w:color="B4B4C8" w:themeColor="accent4"/>
      </w:pBdr>
      <w:shd w:val="clear" w:color="auto" w:fill="B4B4C8" w:themeFill="accent4"/>
      <w:spacing w:after="0" w:line="260" w:lineRule="exact"/>
      <w:ind w:left="170" w:right="170"/>
    </w:pPr>
    <w:rPr>
      <w:rFonts w:asciiTheme="majorHAnsi" w:hAnsiTheme="majorHAnsi" w:cstheme="majorHAnsi"/>
      <w:b/>
      <w:color w:val="23236E" w:themeColor="text2"/>
      <w:sz w:val="24"/>
      <w:szCs w:val="24"/>
    </w:rPr>
  </w:style>
  <w:style w:type="numbering" w:customStyle="1" w:styleId="XXXBulletList">
    <w:name w:val="XXX_Bullet List"/>
    <w:basedOn w:val="NoList"/>
    <w:uiPriority w:val="99"/>
    <w:rsid w:val="00590A19"/>
    <w:pPr>
      <w:numPr>
        <w:numId w:val="2"/>
      </w:numPr>
    </w:pPr>
  </w:style>
  <w:style w:type="paragraph" w:customStyle="1" w:styleId="decisionbullet1">
    <w:name w:val="decision bullet 1"/>
    <w:basedOn w:val="textregular"/>
    <w:uiPriority w:val="4"/>
    <w:qFormat/>
    <w:rsid w:val="00CD009F"/>
    <w:pPr>
      <w:numPr>
        <w:numId w:val="2"/>
      </w:numPr>
      <w:pBdr>
        <w:top w:val="single" w:sz="24" w:space="0" w:color="B4B4C8" w:themeColor="accent4"/>
        <w:left w:val="single" w:sz="24" w:space="4" w:color="B4B4C8" w:themeColor="accent4"/>
        <w:bottom w:val="single" w:sz="24" w:space="0" w:color="B4B4C8" w:themeColor="accent4"/>
        <w:right w:val="single" w:sz="24" w:space="4" w:color="B4B4C8" w:themeColor="accent4"/>
      </w:pBdr>
      <w:shd w:val="clear" w:color="auto" w:fill="B4B4C8" w:themeFill="accent4"/>
      <w:spacing w:after="0"/>
      <w:ind w:left="499" w:right="170"/>
    </w:pPr>
  </w:style>
  <w:style w:type="paragraph" w:customStyle="1" w:styleId="decisionbullet2">
    <w:name w:val="decision bullet 2"/>
    <w:basedOn w:val="textregular"/>
    <w:uiPriority w:val="4"/>
    <w:qFormat/>
    <w:rsid w:val="00B30D59"/>
    <w:pPr>
      <w:numPr>
        <w:ilvl w:val="1"/>
        <w:numId w:val="2"/>
      </w:numPr>
      <w:pBdr>
        <w:top w:val="single" w:sz="24" w:space="1" w:color="B4B4C8" w:themeColor="accent4"/>
        <w:left w:val="single" w:sz="24" w:space="21" w:color="B4B4C8" w:themeColor="accent4"/>
        <w:bottom w:val="single" w:sz="24" w:space="1" w:color="B4B4C8" w:themeColor="accent4"/>
        <w:right w:val="single" w:sz="24" w:space="4" w:color="B4B4C8" w:themeColor="accent4"/>
      </w:pBdr>
      <w:shd w:val="clear" w:color="auto" w:fill="B4B4C8" w:themeFill="accent4"/>
      <w:spacing w:after="0"/>
      <w:ind w:left="851" w:right="170" w:hanging="369"/>
    </w:pPr>
  </w:style>
  <w:style w:type="paragraph" w:customStyle="1" w:styleId="headline3">
    <w:name w:val="headline 3"/>
    <w:basedOn w:val="textregular"/>
    <w:uiPriority w:val="2"/>
    <w:qFormat/>
    <w:rsid w:val="000F693C"/>
    <w:pPr>
      <w:spacing w:after="20"/>
      <w:outlineLvl w:val="2"/>
    </w:pPr>
    <w:rPr>
      <w:b/>
    </w:rPr>
  </w:style>
  <w:style w:type="numbering" w:customStyle="1" w:styleId="XXXNummerierung">
    <w:name w:val="XXX_Nummerierung"/>
    <w:basedOn w:val="NoList"/>
    <w:uiPriority w:val="99"/>
    <w:rsid w:val="00E7480B"/>
    <w:pPr>
      <w:numPr>
        <w:numId w:val="3"/>
      </w:numPr>
    </w:pPr>
  </w:style>
  <w:style w:type="paragraph" w:customStyle="1" w:styleId="textenumeration">
    <w:name w:val="text enumeration"/>
    <w:basedOn w:val="textregular"/>
    <w:uiPriority w:val="4"/>
    <w:qFormat/>
    <w:rsid w:val="00E7480B"/>
    <w:pPr>
      <w:numPr>
        <w:numId w:val="3"/>
      </w:numPr>
      <w:contextualSpacing/>
    </w:pPr>
  </w:style>
  <w:style w:type="paragraph" w:customStyle="1" w:styleId="headline2">
    <w:name w:val="headline 2"/>
    <w:basedOn w:val="textregular"/>
    <w:uiPriority w:val="2"/>
    <w:qFormat/>
    <w:rsid w:val="000F693C"/>
    <w:pPr>
      <w:spacing w:line="260" w:lineRule="exact"/>
      <w:outlineLvl w:val="1"/>
    </w:pPr>
    <w:rPr>
      <w:rFonts w:asciiTheme="majorHAnsi" w:hAnsiTheme="majorHAnsi" w:cstheme="majorHAnsi"/>
      <w:b/>
      <w:color w:val="23236E" w:themeColor="text2"/>
      <w:sz w:val="24"/>
      <w:szCs w:val="24"/>
    </w:rPr>
  </w:style>
  <w:style w:type="numbering" w:customStyle="1" w:styleId="XXXtextbullets">
    <w:name w:val="XXX_text bullets"/>
    <w:basedOn w:val="NoList"/>
    <w:uiPriority w:val="99"/>
    <w:rsid w:val="000961F8"/>
    <w:pPr>
      <w:numPr>
        <w:numId w:val="4"/>
      </w:numPr>
    </w:pPr>
  </w:style>
  <w:style w:type="paragraph" w:customStyle="1" w:styleId="textbullets">
    <w:name w:val="text bullets"/>
    <w:basedOn w:val="textregular"/>
    <w:uiPriority w:val="5"/>
    <w:qFormat/>
    <w:rsid w:val="000961F8"/>
    <w:pPr>
      <w:numPr>
        <w:numId w:val="4"/>
      </w:numPr>
      <w:contextualSpacing/>
    </w:pPr>
  </w:style>
  <w:style w:type="table" w:customStyle="1" w:styleId="EntsoeeinfacheTabelle">
    <w:name w:val="Entsoe | einfache Tabelle"/>
    <w:basedOn w:val="TableNormal"/>
    <w:uiPriority w:val="99"/>
    <w:qFormat/>
    <w:rsid w:val="00922A3D"/>
    <w:tblPr>
      <w:tblStyleRowBandSize w:val="1"/>
      <w:tblBorders>
        <w:insideV w:val="single" w:sz="12" w:space="0" w:color="FFFFFF" w:themeColor="background1"/>
      </w:tblBorders>
      <w:tblCellMar>
        <w:top w:w="28" w:type="dxa"/>
      </w:tblCellMar>
    </w:tblPr>
    <w:tblStylePr w:type="firstRow">
      <w:pPr>
        <w:wordWrap/>
        <w:spacing w:afterLines="0" w:afterAutospacing="0" w:line="340" w:lineRule="exact"/>
      </w:pPr>
      <w:rPr>
        <w:rFonts w:asciiTheme="majorHAnsi" w:hAnsiTheme="majorHAnsi"/>
        <w:b/>
        <w:color w:val="23236E" w:themeColor="text2"/>
        <w:sz w:val="28"/>
      </w:rPr>
    </w:tblStylePr>
    <w:tblStylePr w:type="band1Horz">
      <w:tblPr/>
      <w:tcPr>
        <w:shd w:val="clear" w:color="auto" w:fill="D9D9D9" w:themeFill="background1" w:themeFillShade="D9"/>
      </w:tcPr>
    </w:tblStylePr>
  </w:style>
  <w:style w:type="paragraph" w:customStyle="1" w:styleId="footnote1">
    <w:name w:val="footnote 1"/>
    <w:basedOn w:val="textregular"/>
    <w:uiPriority w:val="6"/>
    <w:qFormat/>
    <w:rsid w:val="007E6984"/>
    <w:pPr>
      <w:pBdr>
        <w:top w:val="single" w:sz="8" w:space="11" w:color="auto"/>
      </w:pBdr>
      <w:spacing w:after="0"/>
    </w:pPr>
    <w:rPr>
      <w:sz w:val="19"/>
    </w:rPr>
  </w:style>
  <w:style w:type="paragraph" w:customStyle="1" w:styleId="footnote2">
    <w:name w:val="footnote 2"/>
    <w:basedOn w:val="textregular"/>
    <w:uiPriority w:val="6"/>
    <w:qFormat/>
    <w:rsid w:val="007E6984"/>
    <w:pPr>
      <w:spacing w:after="0"/>
    </w:pPr>
    <w:rPr>
      <w:sz w:val="19"/>
    </w:rPr>
  </w:style>
  <w:style w:type="paragraph" w:styleId="TOC3">
    <w:name w:val="toc 3"/>
    <w:basedOn w:val="Normal"/>
    <w:next w:val="Normal"/>
    <w:autoRedefine/>
    <w:uiPriority w:val="39"/>
    <w:unhideWhenUsed/>
    <w:rsid w:val="000F693C"/>
    <w:pPr>
      <w:spacing w:after="100"/>
      <w:ind w:left="440"/>
    </w:pPr>
  </w:style>
  <w:style w:type="paragraph" w:styleId="TOC2">
    <w:name w:val="toc 2"/>
    <w:basedOn w:val="Normal"/>
    <w:next w:val="Normal"/>
    <w:autoRedefine/>
    <w:uiPriority w:val="39"/>
    <w:unhideWhenUsed/>
    <w:rsid w:val="000F693C"/>
    <w:pPr>
      <w:spacing w:after="100"/>
      <w:ind w:left="220"/>
    </w:pPr>
  </w:style>
  <w:style w:type="paragraph" w:styleId="ListParagraph">
    <w:name w:val="List Paragraph"/>
    <w:aliases w:val="F List Paragraph"/>
    <w:basedOn w:val="Normal"/>
    <w:link w:val="ListParagraphChar"/>
    <w:uiPriority w:val="34"/>
    <w:qFormat/>
    <w:rsid w:val="00ED0C1C"/>
    <w:pPr>
      <w:spacing w:after="200"/>
      <w:jc w:val="both"/>
    </w:pPr>
    <w:rPr>
      <w:rFonts w:ascii="Calibri" w:eastAsia="Calibri" w:hAnsi="Calibri" w:cs="Times New Roman"/>
    </w:rPr>
  </w:style>
  <w:style w:type="character" w:customStyle="1" w:styleId="ListParagraphChar">
    <w:name w:val="List Paragraph Char"/>
    <w:aliases w:val="F List Paragraph Char"/>
    <w:basedOn w:val="DefaultParagraphFont"/>
    <w:link w:val="ListParagraph"/>
    <w:uiPriority w:val="34"/>
    <w:rsid w:val="00ED0C1C"/>
    <w:rPr>
      <w:rFonts w:ascii="Calibri" w:eastAsia="Calibri" w:hAnsi="Calibri" w:cs="Times New Roman"/>
      <w:lang w:val="en-GB"/>
    </w:rPr>
  </w:style>
  <w:style w:type="paragraph" w:styleId="NormalWeb">
    <w:name w:val="Normal (Web)"/>
    <w:basedOn w:val="Normal"/>
    <w:uiPriority w:val="99"/>
    <w:unhideWhenUsed/>
    <w:rsid w:val="00F06B36"/>
    <w:pPr>
      <w:spacing w:before="100" w:beforeAutospacing="1" w:after="100" w:afterAutospacing="1"/>
    </w:pPr>
    <w:rPr>
      <w:rFonts w:ascii="Times New Roman" w:eastAsia="Times New Roman" w:hAnsi="Times New Roman" w:cs="Times New Roman"/>
      <w:sz w:val="24"/>
      <w:szCs w:val="24"/>
      <w:lang w:val="cs-CZ" w:eastAsia="cs-CZ"/>
    </w:rPr>
  </w:style>
  <w:style w:type="character" w:styleId="CommentReference">
    <w:name w:val="annotation reference"/>
    <w:aliases w:val="Stinking Styles6,Marque de commentaire1"/>
    <w:basedOn w:val="DefaultParagraphFont"/>
    <w:uiPriority w:val="99"/>
    <w:unhideWhenUsed/>
    <w:rsid w:val="003D68E6"/>
    <w:rPr>
      <w:sz w:val="16"/>
      <w:szCs w:val="16"/>
    </w:rPr>
  </w:style>
  <w:style w:type="paragraph" w:styleId="CommentText">
    <w:name w:val="annotation text"/>
    <w:aliases w:val="Stinking Styles5"/>
    <w:basedOn w:val="Normal"/>
    <w:link w:val="CommentTextChar"/>
    <w:uiPriority w:val="99"/>
    <w:unhideWhenUsed/>
    <w:rsid w:val="003D68E6"/>
    <w:rPr>
      <w:sz w:val="20"/>
      <w:szCs w:val="20"/>
    </w:rPr>
  </w:style>
  <w:style w:type="character" w:customStyle="1" w:styleId="CommentTextChar">
    <w:name w:val="Comment Text Char"/>
    <w:aliases w:val="Stinking Styles5 Char"/>
    <w:basedOn w:val="DefaultParagraphFont"/>
    <w:link w:val="CommentText"/>
    <w:uiPriority w:val="99"/>
    <w:rsid w:val="003D68E6"/>
    <w:rPr>
      <w:sz w:val="20"/>
      <w:szCs w:val="20"/>
      <w:lang w:val="en-GB"/>
    </w:rPr>
  </w:style>
  <w:style w:type="paragraph" w:styleId="CommentSubject">
    <w:name w:val="annotation subject"/>
    <w:basedOn w:val="CommentText"/>
    <w:next w:val="CommentText"/>
    <w:link w:val="CommentSubjectChar"/>
    <w:uiPriority w:val="99"/>
    <w:semiHidden/>
    <w:unhideWhenUsed/>
    <w:rsid w:val="003D68E6"/>
    <w:rPr>
      <w:b/>
      <w:bCs/>
    </w:rPr>
  </w:style>
  <w:style w:type="character" w:customStyle="1" w:styleId="CommentSubjectChar">
    <w:name w:val="Comment Subject Char"/>
    <w:basedOn w:val="CommentTextChar"/>
    <w:link w:val="CommentSubject"/>
    <w:uiPriority w:val="99"/>
    <w:semiHidden/>
    <w:rsid w:val="003D68E6"/>
    <w:rPr>
      <w:b/>
      <w:bCs/>
      <w:sz w:val="20"/>
      <w:szCs w:val="20"/>
      <w:lang w:val="en-GB"/>
    </w:rPr>
  </w:style>
  <w:style w:type="paragraph" w:customStyle="1" w:styleId="Default">
    <w:name w:val="Default"/>
    <w:rsid w:val="00160131"/>
    <w:pPr>
      <w:autoSpaceDE w:val="0"/>
      <w:autoSpaceDN w:val="0"/>
      <w:adjustRightInd w:val="0"/>
    </w:pPr>
    <w:rPr>
      <w:rFonts w:ascii="Times New Roman" w:hAnsi="Times New Roman" w:cs="Times New Roman"/>
      <w:color w:val="000000"/>
      <w:sz w:val="24"/>
      <w:szCs w:val="24"/>
      <w:lang w:val="cs-CZ"/>
    </w:rPr>
  </w:style>
  <w:style w:type="table" w:customStyle="1" w:styleId="TableGrid1">
    <w:name w:val="Table Grid1"/>
    <w:basedOn w:val="TableNormal"/>
    <w:next w:val="TableGrid"/>
    <w:uiPriority w:val="39"/>
    <w:rsid w:val="0027115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E25E1"/>
    <w:rPr>
      <w:color w:val="800080" w:themeColor="followedHyperlink"/>
      <w:u w:val="single"/>
    </w:rPr>
  </w:style>
  <w:style w:type="paragraph" w:customStyle="1" w:styleId="Sub-articlenumbered">
    <w:name w:val="Sub-article numbered"/>
    <w:basedOn w:val="ListParagraph"/>
    <w:qFormat/>
    <w:rsid w:val="00F54108"/>
    <w:pPr>
      <w:spacing w:before="240" w:after="240" w:line="259" w:lineRule="auto"/>
      <w:ind w:left="502" w:hanging="360"/>
    </w:pPr>
    <w:rPr>
      <w:rFonts w:asciiTheme="minorHAnsi" w:eastAsiaTheme="minorHAnsi" w:hAnsiTheme="minorHAnsi" w:cstheme="minorBidi"/>
      <w:lang w:val="fi-FI"/>
    </w:rPr>
  </w:style>
  <w:style w:type="paragraph" w:styleId="FootnoteText">
    <w:name w:val="footnote text"/>
    <w:basedOn w:val="Normal"/>
    <w:link w:val="FootnoteTextChar"/>
    <w:uiPriority w:val="99"/>
    <w:semiHidden/>
    <w:unhideWhenUsed/>
    <w:rsid w:val="00F47444"/>
    <w:rPr>
      <w:sz w:val="20"/>
      <w:szCs w:val="20"/>
    </w:rPr>
  </w:style>
  <w:style w:type="character" w:customStyle="1" w:styleId="FootnoteTextChar">
    <w:name w:val="Footnote Text Char"/>
    <w:basedOn w:val="DefaultParagraphFont"/>
    <w:link w:val="FootnoteText"/>
    <w:uiPriority w:val="99"/>
    <w:semiHidden/>
    <w:rsid w:val="00F47444"/>
    <w:rPr>
      <w:sz w:val="20"/>
      <w:szCs w:val="20"/>
      <w:lang w:val="en-GB"/>
    </w:rPr>
  </w:style>
  <w:style w:type="character" w:styleId="FootnoteReference">
    <w:name w:val="footnote reference"/>
    <w:basedOn w:val="DefaultParagraphFont"/>
    <w:uiPriority w:val="99"/>
    <w:semiHidden/>
    <w:unhideWhenUsed/>
    <w:rsid w:val="00F47444"/>
    <w:rPr>
      <w:vertAlign w:val="superscript"/>
    </w:rPr>
  </w:style>
  <w:style w:type="paragraph" w:styleId="Revision">
    <w:name w:val="Revision"/>
    <w:hidden/>
    <w:uiPriority w:val="99"/>
    <w:semiHidden/>
    <w:rsid w:val="003953B9"/>
    <w:rPr>
      <w:lang w:val="en-GB"/>
    </w:rPr>
  </w:style>
  <w:style w:type="paragraph" w:styleId="BodyText">
    <w:name w:val="Body Text"/>
    <w:basedOn w:val="Normal"/>
    <w:link w:val="BodyTextChar"/>
    <w:uiPriority w:val="99"/>
    <w:rsid w:val="000C0F52"/>
    <w:pPr>
      <w:tabs>
        <w:tab w:val="left" w:pos="288"/>
      </w:tabs>
      <w:spacing w:after="120" w:line="228" w:lineRule="auto"/>
      <w:ind w:firstLine="288"/>
      <w:jc w:val="both"/>
    </w:pPr>
    <w:rPr>
      <w:rFonts w:ascii="Times New Roman" w:eastAsia="MS Mincho" w:hAnsi="Times New Roman" w:cs="Times New Roman"/>
      <w:spacing w:val="-1"/>
    </w:rPr>
  </w:style>
  <w:style w:type="character" w:customStyle="1" w:styleId="BodyTextChar">
    <w:name w:val="Body Text Char"/>
    <w:basedOn w:val="DefaultParagraphFont"/>
    <w:link w:val="BodyText"/>
    <w:uiPriority w:val="99"/>
    <w:rsid w:val="000C0F52"/>
    <w:rPr>
      <w:rFonts w:ascii="Times New Roman" w:eastAsia="MS Mincho" w:hAnsi="Times New Roman" w:cs="Times New Roman"/>
      <w:spacing w:val="-1"/>
      <w:lang w:val="en-GB"/>
    </w:rPr>
  </w:style>
  <w:style w:type="character" w:customStyle="1" w:styleId="Heading2Char">
    <w:name w:val="Heading 2 Char"/>
    <w:basedOn w:val="DefaultParagraphFont"/>
    <w:link w:val="Heading2"/>
    <w:uiPriority w:val="99"/>
    <w:rsid w:val="000C0F52"/>
    <w:rPr>
      <w:rFonts w:ascii="Times New Roman" w:eastAsia="MS Mincho" w:hAnsi="Times New Roman" w:cs="Times New Roman"/>
      <w:i/>
      <w:iCs/>
      <w:noProof/>
      <w:lang w:val="en-GB"/>
    </w:rPr>
  </w:style>
  <w:style w:type="character" w:customStyle="1" w:styleId="Heading3Char">
    <w:name w:val="Heading 3 Char"/>
    <w:basedOn w:val="DefaultParagraphFont"/>
    <w:link w:val="Heading3"/>
    <w:uiPriority w:val="99"/>
    <w:rsid w:val="000C0F52"/>
    <w:rPr>
      <w:rFonts w:ascii="Times New Roman" w:eastAsia="MS Mincho" w:hAnsi="Times New Roman" w:cs="Times New Roman"/>
      <w:i/>
      <w:iCs/>
      <w:noProof/>
      <w:lang w:val="en-GB"/>
    </w:rPr>
  </w:style>
  <w:style w:type="character" w:customStyle="1" w:styleId="Heading4Char">
    <w:name w:val="Heading 4 Char"/>
    <w:basedOn w:val="DefaultParagraphFont"/>
    <w:link w:val="Heading4"/>
    <w:uiPriority w:val="99"/>
    <w:rsid w:val="000C0F52"/>
    <w:rPr>
      <w:rFonts w:ascii="Times New Roman" w:eastAsia="MS Mincho" w:hAnsi="Times New Roman" w:cs="Times New Roman"/>
      <w:i/>
      <w:iCs/>
      <w:noProof/>
      <w:lang w:val="en-GB"/>
    </w:rPr>
  </w:style>
  <w:style w:type="paragraph" w:styleId="Caption">
    <w:name w:val="caption"/>
    <w:basedOn w:val="Normal"/>
    <w:next w:val="Normal"/>
    <w:uiPriority w:val="35"/>
    <w:unhideWhenUsed/>
    <w:qFormat/>
    <w:rsid w:val="000C0F52"/>
    <w:pPr>
      <w:spacing w:after="200"/>
      <w:jc w:val="both"/>
    </w:pPr>
    <w:rPr>
      <w:rFonts w:ascii="Times New Roman" w:eastAsia="Times New Roman" w:hAnsi="Times New Roman" w:cs="Times New Roman"/>
      <w:iCs/>
      <w:sz w:val="16"/>
      <w:szCs w:val="18"/>
    </w:rPr>
  </w:style>
  <w:style w:type="paragraph" w:styleId="Bibliography">
    <w:name w:val="Bibliography"/>
    <w:basedOn w:val="Normal"/>
    <w:next w:val="Normal"/>
    <w:uiPriority w:val="37"/>
    <w:unhideWhenUsed/>
    <w:rsid w:val="000C0F52"/>
    <w:pPr>
      <w:spacing w:after="120"/>
      <w:jc w:val="center"/>
    </w:pPr>
    <w:rPr>
      <w:rFonts w:ascii="Times New Roman" w:eastAsia="Times New Roman" w:hAnsi="Times New Roman" w:cs="Times New Roman"/>
    </w:rPr>
  </w:style>
  <w:style w:type="paragraph" w:customStyle="1" w:styleId="default0">
    <w:name w:val="default"/>
    <w:basedOn w:val="Normal"/>
    <w:rsid w:val="00BD2C15"/>
    <w:pPr>
      <w:spacing w:before="100" w:beforeAutospacing="1" w:after="100" w:afterAutospacing="1"/>
    </w:pPr>
    <w:rPr>
      <w:rFonts w:ascii="Times New Roman" w:hAnsi="Times New Roman" w:cs="Times New Roman"/>
      <w:sz w:val="24"/>
      <w:szCs w:val="24"/>
      <w:lang w:eastAsia="en-GB"/>
    </w:rPr>
  </w:style>
  <w:style w:type="character" w:customStyle="1" w:styleId="apple-converted-space">
    <w:name w:val="apple-converted-space"/>
    <w:basedOn w:val="DefaultParagraphFont"/>
    <w:rsid w:val="00BD2C15"/>
  </w:style>
  <w:style w:type="character" w:styleId="PageNumber">
    <w:name w:val="page number"/>
    <w:basedOn w:val="DefaultParagraphFont"/>
    <w:uiPriority w:val="99"/>
    <w:semiHidden/>
    <w:unhideWhenUsed/>
    <w:rsid w:val="006E6F1D"/>
  </w:style>
  <w:style w:type="paragraph" w:customStyle="1" w:styleId="Body">
    <w:name w:val="Body"/>
    <w:basedOn w:val="ListParagraph"/>
    <w:link w:val="BodyChar"/>
    <w:qFormat/>
    <w:rsid w:val="002D4993"/>
    <w:pPr>
      <w:numPr>
        <w:numId w:val="68"/>
      </w:numPr>
      <w:spacing w:before="120" w:after="120"/>
    </w:pPr>
    <w:rPr>
      <w:rFonts w:eastAsia="Times New Roman"/>
      <w:sz w:val="20"/>
    </w:rPr>
  </w:style>
  <w:style w:type="character" w:customStyle="1" w:styleId="BodyChar">
    <w:name w:val="Body Char"/>
    <w:basedOn w:val="DefaultParagraphFont"/>
    <w:link w:val="Body"/>
    <w:rsid w:val="002D4993"/>
    <w:rPr>
      <w:rFonts w:ascii="Calibri" w:eastAsia="Times New Roman" w:hAnsi="Calibri" w:cs="Times New Roman"/>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nhideWhenUsed="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BD5"/>
    <w:rPr>
      <w:lang w:val="en-GB"/>
    </w:rPr>
  </w:style>
  <w:style w:type="paragraph" w:styleId="Heading1">
    <w:name w:val="heading 1"/>
    <w:basedOn w:val="Normal"/>
    <w:next w:val="Normal"/>
    <w:link w:val="Heading1Char"/>
    <w:uiPriority w:val="9"/>
    <w:qFormat/>
    <w:rsid w:val="004B6993"/>
    <w:pPr>
      <w:keepNext/>
      <w:keepLines/>
      <w:spacing w:before="480"/>
      <w:outlineLvl w:val="0"/>
    </w:pPr>
    <w:rPr>
      <w:rFonts w:asciiTheme="majorHAnsi" w:eastAsiaTheme="majorEastAsia" w:hAnsiTheme="majorHAnsi" w:cstheme="majorBidi"/>
      <w:b/>
      <w:bCs/>
      <w:color w:val="424477" w:themeColor="accent1" w:themeShade="BF"/>
      <w:sz w:val="28"/>
      <w:szCs w:val="28"/>
    </w:rPr>
  </w:style>
  <w:style w:type="paragraph" w:styleId="Heading2">
    <w:name w:val="heading 2"/>
    <w:basedOn w:val="Normal"/>
    <w:next w:val="Normal"/>
    <w:link w:val="Heading2Char"/>
    <w:uiPriority w:val="99"/>
    <w:qFormat/>
    <w:rsid w:val="000C0F52"/>
    <w:pPr>
      <w:keepNext/>
      <w:keepLines/>
      <w:numPr>
        <w:ilvl w:val="1"/>
        <w:numId w:val="31"/>
      </w:numPr>
      <w:spacing w:before="120" w:after="60"/>
      <w:jc w:val="both"/>
      <w:outlineLvl w:val="1"/>
    </w:pPr>
    <w:rPr>
      <w:rFonts w:ascii="Times New Roman" w:eastAsia="MS Mincho" w:hAnsi="Times New Roman" w:cs="Times New Roman"/>
      <w:i/>
      <w:iCs/>
      <w:noProof/>
    </w:rPr>
  </w:style>
  <w:style w:type="paragraph" w:styleId="Heading3">
    <w:name w:val="heading 3"/>
    <w:basedOn w:val="Normal"/>
    <w:next w:val="Normal"/>
    <w:link w:val="Heading3Char"/>
    <w:uiPriority w:val="99"/>
    <w:qFormat/>
    <w:rsid w:val="000C0F52"/>
    <w:pPr>
      <w:numPr>
        <w:ilvl w:val="2"/>
        <w:numId w:val="31"/>
      </w:numPr>
      <w:spacing w:after="120" w:line="240" w:lineRule="exact"/>
      <w:jc w:val="both"/>
      <w:outlineLvl w:val="2"/>
    </w:pPr>
    <w:rPr>
      <w:rFonts w:ascii="Times New Roman" w:eastAsia="MS Mincho" w:hAnsi="Times New Roman" w:cs="Times New Roman"/>
      <w:i/>
      <w:iCs/>
      <w:noProof/>
    </w:rPr>
  </w:style>
  <w:style w:type="paragraph" w:styleId="Heading4">
    <w:name w:val="heading 4"/>
    <w:basedOn w:val="Normal"/>
    <w:next w:val="Normal"/>
    <w:link w:val="Heading4Char"/>
    <w:uiPriority w:val="99"/>
    <w:qFormat/>
    <w:rsid w:val="000C0F52"/>
    <w:pPr>
      <w:numPr>
        <w:ilvl w:val="3"/>
        <w:numId w:val="31"/>
      </w:numPr>
      <w:tabs>
        <w:tab w:val="left" w:pos="821"/>
      </w:tabs>
      <w:spacing w:before="40" w:after="40"/>
      <w:jc w:val="both"/>
      <w:outlineLvl w:val="3"/>
    </w:pPr>
    <w:rPr>
      <w:rFonts w:ascii="Times New Roman" w:eastAsia="MS Mincho" w:hAnsi="Times New Roman" w:cs="Times New Roman"/>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regular">
    <w:name w:val="text regular"/>
    <w:basedOn w:val="Normal"/>
    <w:qFormat/>
    <w:rsid w:val="00F46084"/>
    <w:pPr>
      <w:spacing w:after="120"/>
    </w:pPr>
  </w:style>
  <w:style w:type="paragraph" w:styleId="Header">
    <w:name w:val="header"/>
    <w:basedOn w:val="Normal"/>
    <w:link w:val="HeaderChar"/>
    <w:uiPriority w:val="99"/>
    <w:unhideWhenUsed/>
    <w:rsid w:val="00B04144"/>
    <w:pPr>
      <w:tabs>
        <w:tab w:val="center" w:pos="4536"/>
        <w:tab w:val="right" w:pos="9072"/>
      </w:tabs>
    </w:pPr>
  </w:style>
  <w:style w:type="character" w:customStyle="1" w:styleId="HeaderChar">
    <w:name w:val="Header Char"/>
    <w:basedOn w:val="DefaultParagraphFont"/>
    <w:link w:val="Header"/>
    <w:uiPriority w:val="99"/>
    <w:rsid w:val="00B04144"/>
  </w:style>
  <w:style w:type="paragraph" w:styleId="Footer">
    <w:name w:val="footer"/>
    <w:basedOn w:val="Normal"/>
    <w:link w:val="FooterChar"/>
    <w:uiPriority w:val="99"/>
    <w:semiHidden/>
    <w:rsid w:val="00B04144"/>
    <w:pPr>
      <w:tabs>
        <w:tab w:val="center" w:pos="4536"/>
        <w:tab w:val="right" w:pos="9072"/>
      </w:tabs>
    </w:pPr>
  </w:style>
  <w:style w:type="character" w:customStyle="1" w:styleId="FooterChar">
    <w:name w:val="Footer Char"/>
    <w:basedOn w:val="DefaultParagraphFont"/>
    <w:link w:val="Footer"/>
    <w:uiPriority w:val="99"/>
    <w:semiHidden/>
    <w:rsid w:val="00CD009F"/>
    <w:rPr>
      <w:lang w:val="en-GB"/>
    </w:rPr>
  </w:style>
  <w:style w:type="paragraph" w:styleId="BalloonText">
    <w:name w:val="Balloon Text"/>
    <w:basedOn w:val="Normal"/>
    <w:link w:val="BalloonTextChar"/>
    <w:uiPriority w:val="99"/>
    <w:semiHidden/>
    <w:unhideWhenUsed/>
    <w:rsid w:val="00B04144"/>
    <w:rPr>
      <w:rFonts w:ascii="Tahoma" w:hAnsi="Tahoma" w:cs="Tahoma"/>
      <w:sz w:val="16"/>
      <w:szCs w:val="16"/>
    </w:rPr>
  </w:style>
  <w:style w:type="character" w:customStyle="1" w:styleId="BalloonTextChar">
    <w:name w:val="Balloon Text Char"/>
    <w:basedOn w:val="DefaultParagraphFont"/>
    <w:link w:val="BalloonText"/>
    <w:uiPriority w:val="99"/>
    <w:semiHidden/>
    <w:rsid w:val="00B04144"/>
    <w:rPr>
      <w:rFonts w:ascii="Tahoma" w:hAnsi="Tahoma" w:cs="Tahoma"/>
      <w:sz w:val="16"/>
      <w:szCs w:val="16"/>
    </w:rPr>
  </w:style>
  <w:style w:type="paragraph" w:customStyle="1" w:styleId="headlineheader">
    <w:name w:val="headline header"/>
    <w:basedOn w:val="textregular"/>
    <w:uiPriority w:val="1"/>
    <w:qFormat/>
    <w:rsid w:val="007A686E"/>
    <w:pPr>
      <w:spacing w:after="280" w:line="600" w:lineRule="exact"/>
    </w:pPr>
    <w:rPr>
      <w:rFonts w:asciiTheme="majorHAnsi" w:hAnsiTheme="majorHAnsi" w:cstheme="majorHAnsi"/>
      <w:b/>
      <w:color w:val="23236E" w:themeColor="text2"/>
      <w:sz w:val="57"/>
      <w:szCs w:val="57"/>
    </w:rPr>
  </w:style>
  <w:style w:type="paragraph" w:customStyle="1" w:styleId="textheader">
    <w:name w:val="text header"/>
    <w:basedOn w:val="textregular"/>
    <w:uiPriority w:val="1"/>
    <w:qFormat/>
    <w:rsid w:val="00B30D59"/>
    <w:pPr>
      <w:spacing w:after="400" w:line="500" w:lineRule="exact"/>
    </w:pPr>
    <w:rPr>
      <w:rFonts w:asciiTheme="majorHAnsi" w:hAnsiTheme="majorHAnsi" w:cstheme="majorHAnsi"/>
      <w:color w:val="23236E" w:themeColor="text2"/>
      <w:sz w:val="40"/>
      <w:szCs w:val="40"/>
      <w:lang w:val="en-US"/>
    </w:rPr>
  </w:style>
  <w:style w:type="paragraph" w:customStyle="1" w:styleId="time">
    <w:name w:val="time"/>
    <w:basedOn w:val="textregular"/>
    <w:uiPriority w:val="1"/>
    <w:qFormat/>
    <w:rsid w:val="007A686E"/>
    <w:pPr>
      <w:framePr w:hSpace="142" w:vSpace="5528" w:wrap="around" w:vAnchor="page" w:hAnchor="page" w:x="1362" w:y="5104"/>
      <w:spacing w:after="0" w:line="320" w:lineRule="exact"/>
    </w:pPr>
    <w:rPr>
      <w:rFonts w:asciiTheme="majorHAnsi" w:hAnsiTheme="majorHAnsi" w:cstheme="majorHAnsi"/>
      <w:sz w:val="29"/>
      <w:szCs w:val="29"/>
      <w:lang w:val="en-US"/>
    </w:rPr>
  </w:style>
  <w:style w:type="character" w:styleId="PlaceholderText">
    <w:name w:val="Placeholder Text"/>
    <w:basedOn w:val="DefaultParagraphFont"/>
    <w:uiPriority w:val="99"/>
    <w:semiHidden/>
    <w:rsid w:val="00903B95"/>
    <w:rPr>
      <w:color w:val="808080"/>
    </w:rPr>
  </w:style>
  <w:style w:type="paragraph" w:customStyle="1" w:styleId="headline1">
    <w:name w:val="headline 1"/>
    <w:basedOn w:val="textregular"/>
    <w:uiPriority w:val="2"/>
    <w:qFormat/>
    <w:rsid w:val="000F693C"/>
    <w:pPr>
      <w:spacing w:before="400" w:line="340" w:lineRule="exact"/>
      <w:outlineLvl w:val="0"/>
    </w:pPr>
    <w:rPr>
      <w:rFonts w:asciiTheme="majorHAnsi" w:hAnsiTheme="majorHAnsi" w:cstheme="majorHAnsi"/>
      <w:b/>
      <w:color w:val="23236E" w:themeColor="text2"/>
      <w:sz w:val="28"/>
      <w:szCs w:val="28"/>
    </w:rPr>
  </w:style>
  <w:style w:type="numbering" w:customStyle="1" w:styleId="XXXList">
    <w:name w:val="XXX_List"/>
    <w:basedOn w:val="NoList"/>
    <w:uiPriority w:val="99"/>
    <w:rsid w:val="00D9486F"/>
    <w:pPr>
      <w:numPr>
        <w:numId w:val="1"/>
      </w:numPr>
    </w:pPr>
  </w:style>
  <w:style w:type="character" w:customStyle="1" w:styleId="Heading1Char">
    <w:name w:val="Heading 1 Char"/>
    <w:basedOn w:val="DefaultParagraphFont"/>
    <w:link w:val="Heading1"/>
    <w:uiPriority w:val="9"/>
    <w:rsid w:val="004B6993"/>
    <w:rPr>
      <w:rFonts w:asciiTheme="majorHAnsi" w:eastAsiaTheme="majorEastAsia" w:hAnsiTheme="majorHAnsi" w:cstheme="majorBidi"/>
      <w:b/>
      <w:bCs/>
      <w:color w:val="424477" w:themeColor="accent1" w:themeShade="BF"/>
      <w:sz w:val="28"/>
      <w:szCs w:val="28"/>
    </w:rPr>
  </w:style>
  <w:style w:type="paragraph" w:styleId="TOC1">
    <w:name w:val="toc 1"/>
    <w:basedOn w:val="Normal"/>
    <w:next w:val="Normal"/>
    <w:autoRedefine/>
    <w:uiPriority w:val="39"/>
    <w:unhideWhenUsed/>
    <w:rsid w:val="00CC7B09"/>
    <w:pPr>
      <w:tabs>
        <w:tab w:val="right" w:leader="dot" w:pos="9514"/>
      </w:tabs>
      <w:spacing w:after="100"/>
    </w:pPr>
    <w:rPr>
      <w:rFonts w:asciiTheme="majorHAnsi" w:hAnsiTheme="majorHAnsi"/>
    </w:rPr>
  </w:style>
  <w:style w:type="paragraph" w:styleId="TOCHeading">
    <w:name w:val="TOC Heading"/>
    <w:basedOn w:val="Heading1"/>
    <w:next w:val="Normal"/>
    <w:uiPriority w:val="39"/>
    <w:semiHidden/>
    <w:unhideWhenUsed/>
    <w:qFormat/>
    <w:rsid w:val="004B6993"/>
    <w:pPr>
      <w:spacing w:line="276" w:lineRule="auto"/>
      <w:outlineLvl w:val="9"/>
    </w:pPr>
  </w:style>
  <w:style w:type="character" w:styleId="Hyperlink">
    <w:name w:val="Hyperlink"/>
    <w:basedOn w:val="DefaultParagraphFont"/>
    <w:uiPriority w:val="99"/>
    <w:rsid w:val="0099378F"/>
    <w:rPr>
      <w:color w:val="0000FF" w:themeColor="hyperlink"/>
      <w:u w:val="single"/>
    </w:rPr>
  </w:style>
  <w:style w:type="paragraph" w:customStyle="1" w:styleId="decisionhead">
    <w:name w:val="decision head"/>
    <w:basedOn w:val="textregular"/>
    <w:uiPriority w:val="3"/>
    <w:qFormat/>
    <w:rsid w:val="00CD009F"/>
    <w:pPr>
      <w:pBdr>
        <w:top w:val="single" w:sz="24" w:space="1" w:color="B4B4C8" w:themeColor="accent4"/>
        <w:left w:val="single" w:sz="24" w:space="4" w:color="B4B4C8" w:themeColor="accent4"/>
        <w:bottom w:val="single" w:sz="24" w:space="1" w:color="B4B4C8" w:themeColor="accent4"/>
        <w:right w:val="single" w:sz="24" w:space="4" w:color="B4B4C8" w:themeColor="accent4"/>
      </w:pBdr>
      <w:shd w:val="clear" w:color="auto" w:fill="B4B4C8" w:themeFill="accent4"/>
      <w:spacing w:after="0" w:line="260" w:lineRule="exact"/>
      <w:ind w:left="170" w:right="170"/>
    </w:pPr>
    <w:rPr>
      <w:rFonts w:asciiTheme="majorHAnsi" w:hAnsiTheme="majorHAnsi" w:cstheme="majorHAnsi"/>
      <w:b/>
      <w:color w:val="23236E" w:themeColor="text2"/>
      <w:sz w:val="24"/>
      <w:szCs w:val="24"/>
    </w:rPr>
  </w:style>
  <w:style w:type="numbering" w:customStyle="1" w:styleId="XXXBulletList">
    <w:name w:val="XXX_Bullet List"/>
    <w:basedOn w:val="NoList"/>
    <w:uiPriority w:val="99"/>
    <w:rsid w:val="00590A19"/>
    <w:pPr>
      <w:numPr>
        <w:numId w:val="2"/>
      </w:numPr>
    </w:pPr>
  </w:style>
  <w:style w:type="paragraph" w:customStyle="1" w:styleId="decisionbullet1">
    <w:name w:val="decision bullet 1"/>
    <w:basedOn w:val="textregular"/>
    <w:uiPriority w:val="4"/>
    <w:qFormat/>
    <w:rsid w:val="00CD009F"/>
    <w:pPr>
      <w:numPr>
        <w:numId w:val="2"/>
      </w:numPr>
      <w:pBdr>
        <w:top w:val="single" w:sz="24" w:space="0" w:color="B4B4C8" w:themeColor="accent4"/>
        <w:left w:val="single" w:sz="24" w:space="4" w:color="B4B4C8" w:themeColor="accent4"/>
        <w:bottom w:val="single" w:sz="24" w:space="0" w:color="B4B4C8" w:themeColor="accent4"/>
        <w:right w:val="single" w:sz="24" w:space="4" w:color="B4B4C8" w:themeColor="accent4"/>
      </w:pBdr>
      <w:shd w:val="clear" w:color="auto" w:fill="B4B4C8" w:themeFill="accent4"/>
      <w:spacing w:after="0"/>
      <w:ind w:left="499" w:right="170"/>
    </w:pPr>
  </w:style>
  <w:style w:type="paragraph" w:customStyle="1" w:styleId="decisionbullet2">
    <w:name w:val="decision bullet 2"/>
    <w:basedOn w:val="textregular"/>
    <w:uiPriority w:val="4"/>
    <w:qFormat/>
    <w:rsid w:val="00B30D59"/>
    <w:pPr>
      <w:numPr>
        <w:ilvl w:val="1"/>
        <w:numId w:val="2"/>
      </w:numPr>
      <w:pBdr>
        <w:top w:val="single" w:sz="24" w:space="1" w:color="B4B4C8" w:themeColor="accent4"/>
        <w:left w:val="single" w:sz="24" w:space="21" w:color="B4B4C8" w:themeColor="accent4"/>
        <w:bottom w:val="single" w:sz="24" w:space="1" w:color="B4B4C8" w:themeColor="accent4"/>
        <w:right w:val="single" w:sz="24" w:space="4" w:color="B4B4C8" w:themeColor="accent4"/>
      </w:pBdr>
      <w:shd w:val="clear" w:color="auto" w:fill="B4B4C8" w:themeFill="accent4"/>
      <w:spacing w:after="0"/>
      <w:ind w:left="851" w:right="170" w:hanging="369"/>
    </w:pPr>
  </w:style>
  <w:style w:type="paragraph" w:customStyle="1" w:styleId="headline3">
    <w:name w:val="headline 3"/>
    <w:basedOn w:val="textregular"/>
    <w:uiPriority w:val="2"/>
    <w:qFormat/>
    <w:rsid w:val="000F693C"/>
    <w:pPr>
      <w:spacing w:after="20"/>
      <w:outlineLvl w:val="2"/>
    </w:pPr>
    <w:rPr>
      <w:b/>
    </w:rPr>
  </w:style>
  <w:style w:type="numbering" w:customStyle="1" w:styleId="XXXNummerierung">
    <w:name w:val="XXX_Nummerierung"/>
    <w:basedOn w:val="NoList"/>
    <w:uiPriority w:val="99"/>
    <w:rsid w:val="00E7480B"/>
    <w:pPr>
      <w:numPr>
        <w:numId w:val="3"/>
      </w:numPr>
    </w:pPr>
  </w:style>
  <w:style w:type="paragraph" w:customStyle="1" w:styleId="textenumeration">
    <w:name w:val="text enumeration"/>
    <w:basedOn w:val="textregular"/>
    <w:uiPriority w:val="4"/>
    <w:qFormat/>
    <w:rsid w:val="00E7480B"/>
    <w:pPr>
      <w:numPr>
        <w:numId w:val="3"/>
      </w:numPr>
      <w:contextualSpacing/>
    </w:pPr>
  </w:style>
  <w:style w:type="paragraph" w:customStyle="1" w:styleId="headline2">
    <w:name w:val="headline 2"/>
    <w:basedOn w:val="textregular"/>
    <w:uiPriority w:val="2"/>
    <w:qFormat/>
    <w:rsid w:val="000F693C"/>
    <w:pPr>
      <w:spacing w:line="260" w:lineRule="exact"/>
      <w:outlineLvl w:val="1"/>
    </w:pPr>
    <w:rPr>
      <w:rFonts w:asciiTheme="majorHAnsi" w:hAnsiTheme="majorHAnsi" w:cstheme="majorHAnsi"/>
      <w:b/>
      <w:color w:val="23236E" w:themeColor="text2"/>
      <w:sz w:val="24"/>
      <w:szCs w:val="24"/>
    </w:rPr>
  </w:style>
  <w:style w:type="numbering" w:customStyle="1" w:styleId="XXXtextbullets">
    <w:name w:val="XXX_text bullets"/>
    <w:basedOn w:val="NoList"/>
    <w:uiPriority w:val="99"/>
    <w:rsid w:val="000961F8"/>
    <w:pPr>
      <w:numPr>
        <w:numId w:val="4"/>
      </w:numPr>
    </w:pPr>
  </w:style>
  <w:style w:type="paragraph" w:customStyle="1" w:styleId="textbullets">
    <w:name w:val="text bullets"/>
    <w:basedOn w:val="textregular"/>
    <w:uiPriority w:val="5"/>
    <w:qFormat/>
    <w:rsid w:val="000961F8"/>
    <w:pPr>
      <w:numPr>
        <w:numId w:val="4"/>
      </w:numPr>
      <w:contextualSpacing/>
    </w:pPr>
  </w:style>
  <w:style w:type="table" w:customStyle="1" w:styleId="EntsoeeinfacheTabelle">
    <w:name w:val="Entsoe | einfache Tabelle"/>
    <w:basedOn w:val="TableNormal"/>
    <w:uiPriority w:val="99"/>
    <w:qFormat/>
    <w:rsid w:val="00922A3D"/>
    <w:tblPr>
      <w:tblStyleRowBandSize w:val="1"/>
      <w:tblBorders>
        <w:insideV w:val="single" w:sz="12" w:space="0" w:color="FFFFFF" w:themeColor="background1"/>
      </w:tblBorders>
      <w:tblCellMar>
        <w:top w:w="28" w:type="dxa"/>
      </w:tblCellMar>
    </w:tblPr>
    <w:tblStylePr w:type="firstRow">
      <w:pPr>
        <w:wordWrap/>
        <w:spacing w:afterLines="0" w:afterAutospacing="0" w:line="340" w:lineRule="exact"/>
      </w:pPr>
      <w:rPr>
        <w:rFonts w:asciiTheme="majorHAnsi" w:hAnsiTheme="majorHAnsi"/>
        <w:b/>
        <w:color w:val="23236E" w:themeColor="text2"/>
        <w:sz w:val="28"/>
      </w:rPr>
    </w:tblStylePr>
    <w:tblStylePr w:type="band1Horz">
      <w:tblPr/>
      <w:tcPr>
        <w:shd w:val="clear" w:color="auto" w:fill="D9D9D9" w:themeFill="background1" w:themeFillShade="D9"/>
      </w:tcPr>
    </w:tblStylePr>
  </w:style>
  <w:style w:type="paragraph" w:customStyle="1" w:styleId="footnote1">
    <w:name w:val="footnote 1"/>
    <w:basedOn w:val="textregular"/>
    <w:uiPriority w:val="6"/>
    <w:qFormat/>
    <w:rsid w:val="007E6984"/>
    <w:pPr>
      <w:pBdr>
        <w:top w:val="single" w:sz="8" w:space="11" w:color="auto"/>
      </w:pBdr>
      <w:spacing w:after="0"/>
    </w:pPr>
    <w:rPr>
      <w:sz w:val="19"/>
    </w:rPr>
  </w:style>
  <w:style w:type="paragraph" w:customStyle="1" w:styleId="footnote2">
    <w:name w:val="footnote 2"/>
    <w:basedOn w:val="textregular"/>
    <w:uiPriority w:val="6"/>
    <w:qFormat/>
    <w:rsid w:val="007E6984"/>
    <w:pPr>
      <w:spacing w:after="0"/>
    </w:pPr>
    <w:rPr>
      <w:sz w:val="19"/>
    </w:rPr>
  </w:style>
  <w:style w:type="paragraph" w:styleId="TOC3">
    <w:name w:val="toc 3"/>
    <w:basedOn w:val="Normal"/>
    <w:next w:val="Normal"/>
    <w:autoRedefine/>
    <w:uiPriority w:val="39"/>
    <w:unhideWhenUsed/>
    <w:rsid w:val="000F693C"/>
    <w:pPr>
      <w:spacing w:after="100"/>
      <w:ind w:left="440"/>
    </w:pPr>
  </w:style>
  <w:style w:type="paragraph" w:styleId="TOC2">
    <w:name w:val="toc 2"/>
    <w:basedOn w:val="Normal"/>
    <w:next w:val="Normal"/>
    <w:autoRedefine/>
    <w:uiPriority w:val="39"/>
    <w:unhideWhenUsed/>
    <w:rsid w:val="000F693C"/>
    <w:pPr>
      <w:spacing w:after="100"/>
      <w:ind w:left="220"/>
    </w:pPr>
  </w:style>
  <w:style w:type="paragraph" w:styleId="ListParagraph">
    <w:name w:val="List Paragraph"/>
    <w:aliases w:val="F List Paragraph"/>
    <w:basedOn w:val="Normal"/>
    <w:link w:val="ListParagraphChar"/>
    <w:uiPriority w:val="34"/>
    <w:qFormat/>
    <w:rsid w:val="00ED0C1C"/>
    <w:pPr>
      <w:spacing w:after="200"/>
      <w:jc w:val="both"/>
    </w:pPr>
    <w:rPr>
      <w:rFonts w:ascii="Calibri" w:eastAsia="Calibri" w:hAnsi="Calibri" w:cs="Times New Roman"/>
    </w:rPr>
  </w:style>
  <w:style w:type="character" w:customStyle="1" w:styleId="ListParagraphChar">
    <w:name w:val="List Paragraph Char"/>
    <w:aliases w:val="F List Paragraph Char"/>
    <w:basedOn w:val="DefaultParagraphFont"/>
    <w:link w:val="ListParagraph"/>
    <w:uiPriority w:val="34"/>
    <w:rsid w:val="00ED0C1C"/>
    <w:rPr>
      <w:rFonts w:ascii="Calibri" w:eastAsia="Calibri" w:hAnsi="Calibri" w:cs="Times New Roman"/>
      <w:lang w:val="en-GB"/>
    </w:rPr>
  </w:style>
  <w:style w:type="paragraph" w:styleId="NormalWeb">
    <w:name w:val="Normal (Web)"/>
    <w:basedOn w:val="Normal"/>
    <w:uiPriority w:val="99"/>
    <w:unhideWhenUsed/>
    <w:rsid w:val="00F06B36"/>
    <w:pPr>
      <w:spacing w:before="100" w:beforeAutospacing="1" w:after="100" w:afterAutospacing="1"/>
    </w:pPr>
    <w:rPr>
      <w:rFonts w:ascii="Times New Roman" w:eastAsia="Times New Roman" w:hAnsi="Times New Roman" w:cs="Times New Roman"/>
      <w:sz w:val="24"/>
      <w:szCs w:val="24"/>
      <w:lang w:val="cs-CZ" w:eastAsia="cs-CZ"/>
    </w:rPr>
  </w:style>
  <w:style w:type="character" w:styleId="CommentReference">
    <w:name w:val="annotation reference"/>
    <w:aliases w:val="Stinking Styles6,Marque de commentaire1"/>
    <w:basedOn w:val="DefaultParagraphFont"/>
    <w:uiPriority w:val="99"/>
    <w:unhideWhenUsed/>
    <w:rsid w:val="003D68E6"/>
    <w:rPr>
      <w:sz w:val="16"/>
      <w:szCs w:val="16"/>
    </w:rPr>
  </w:style>
  <w:style w:type="paragraph" w:styleId="CommentText">
    <w:name w:val="annotation text"/>
    <w:aliases w:val="Stinking Styles5"/>
    <w:basedOn w:val="Normal"/>
    <w:link w:val="CommentTextChar"/>
    <w:uiPriority w:val="99"/>
    <w:unhideWhenUsed/>
    <w:rsid w:val="003D68E6"/>
    <w:rPr>
      <w:sz w:val="20"/>
      <w:szCs w:val="20"/>
    </w:rPr>
  </w:style>
  <w:style w:type="character" w:customStyle="1" w:styleId="CommentTextChar">
    <w:name w:val="Comment Text Char"/>
    <w:aliases w:val="Stinking Styles5 Char"/>
    <w:basedOn w:val="DefaultParagraphFont"/>
    <w:link w:val="CommentText"/>
    <w:uiPriority w:val="99"/>
    <w:rsid w:val="003D68E6"/>
    <w:rPr>
      <w:sz w:val="20"/>
      <w:szCs w:val="20"/>
      <w:lang w:val="en-GB"/>
    </w:rPr>
  </w:style>
  <w:style w:type="paragraph" w:styleId="CommentSubject">
    <w:name w:val="annotation subject"/>
    <w:basedOn w:val="CommentText"/>
    <w:next w:val="CommentText"/>
    <w:link w:val="CommentSubjectChar"/>
    <w:uiPriority w:val="99"/>
    <w:semiHidden/>
    <w:unhideWhenUsed/>
    <w:rsid w:val="003D68E6"/>
    <w:rPr>
      <w:b/>
      <w:bCs/>
    </w:rPr>
  </w:style>
  <w:style w:type="character" w:customStyle="1" w:styleId="CommentSubjectChar">
    <w:name w:val="Comment Subject Char"/>
    <w:basedOn w:val="CommentTextChar"/>
    <w:link w:val="CommentSubject"/>
    <w:uiPriority w:val="99"/>
    <w:semiHidden/>
    <w:rsid w:val="003D68E6"/>
    <w:rPr>
      <w:b/>
      <w:bCs/>
      <w:sz w:val="20"/>
      <w:szCs w:val="20"/>
      <w:lang w:val="en-GB"/>
    </w:rPr>
  </w:style>
  <w:style w:type="paragraph" w:customStyle="1" w:styleId="Default">
    <w:name w:val="Default"/>
    <w:rsid w:val="00160131"/>
    <w:pPr>
      <w:autoSpaceDE w:val="0"/>
      <w:autoSpaceDN w:val="0"/>
      <w:adjustRightInd w:val="0"/>
    </w:pPr>
    <w:rPr>
      <w:rFonts w:ascii="Times New Roman" w:hAnsi="Times New Roman" w:cs="Times New Roman"/>
      <w:color w:val="000000"/>
      <w:sz w:val="24"/>
      <w:szCs w:val="24"/>
      <w:lang w:val="cs-CZ"/>
    </w:rPr>
  </w:style>
  <w:style w:type="table" w:customStyle="1" w:styleId="TableGrid1">
    <w:name w:val="Table Grid1"/>
    <w:basedOn w:val="TableNormal"/>
    <w:next w:val="TableGrid"/>
    <w:uiPriority w:val="39"/>
    <w:rsid w:val="0027115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E25E1"/>
    <w:rPr>
      <w:color w:val="800080" w:themeColor="followedHyperlink"/>
      <w:u w:val="single"/>
    </w:rPr>
  </w:style>
  <w:style w:type="paragraph" w:customStyle="1" w:styleId="Sub-articlenumbered">
    <w:name w:val="Sub-article numbered"/>
    <w:basedOn w:val="ListParagraph"/>
    <w:qFormat/>
    <w:rsid w:val="00F54108"/>
    <w:pPr>
      <w:spacing w:before="240" w:after="240" w:line="259" w:lineRule="auto"/>
      <w:ind w:left="502" w:hanging="360"/>
    </w:pPr>
    <w:rPr>
      <w:rFonts w:asciiTheme="minorHAnsi" w:eastAsiaTheme="minorHAnsi" w:hAnsiTheme="minorHAnsi" w:cstheme="minorBidi"/>
      <w:lang w:val="fi-FI"/>
    </w:rPr>
  </w:style>
  <w:style w:type="paragraph" w:styleId="FootnoteText">
    <w:name w:val="footnote text"/>
    <w:basedOn w:val="Normal"/>
    <w:link w:val="FootnoteTextChar"/>
    <w:uiPriority w:val="99"/>
    <w:semiHidden/>
    <w:unhideWhenUsed/>
    <w:rsid w:val="00F47444"/>
    <w:rPr>
      <w:sz w:val="20"/>
      <w:szCs w:val="20"/>
    </w:rPr>
  </w:style>
  <w:style w:type="character" w:customStyle="1" w:styleId="FootnoteTextChar">
    <w:name w:val="Footnote Text Char"/>
    <w:basedOn w:val="DefaultParagraphFont"/>
    <w:link w:val="FootnoteText"/>
    <w:uiPriority w:val="99"/>
    <w:semiHidden/>
    <w:rsid w:val="00F47444"/>
    <w:rPr>
      <w:sz w:val="20"/>
      <w:szCs w:val="20"/>
      <w:lang w:val="en-GB"/>
    </w:rPr>
  </w:style>
  <w:style w:type="character" w:styleId="FootnoteReference">
    <w:name w:val="footnote reference"/>
    <w:basedOn w:val="DefaultParagraphFont"/>
    <w:uiPriority w:val="99"/>
    <w:semiHidden/>
    <w:unhideWhenUsed/>
    <w:rsid w:val="00F47444"/>
    <w:rPr>
      <w:vertAlign w:val="superscript"/>
    </w:rPr>
  </w:style>
  <w:style w:type="paragraph" w:styleId="Revision">
    <w:name w:val="Revision"/>
    <w:hidden/>
    <w:uiPriority w:val="99"/>
    <w:semiHidden/>
    <w:rsid w:val="003953B9"/>
    <w:rPr>
      <w:lang w:val="en-GB"/>
    </w:rPr>
  </w:style>
  <w:style w:type="paragraph" w:styleId="BodyText">
    <w:name w:val="Body Text"/>
    <w:basedOn w:val="Normal"/>
    <w:link w:val="BodyTextChar"/>
    <w:uiPriority w:val="99"/>
    <w:rsid w:val="000C0F52"/>
    <w:pPr>
      <w:tabs>
        <w:tab w:val="left" w:pos="288"/>
      </w:tabs>
      <w:spacing w:after="120" w:line="228" w:lineRule="auto"/>
      <w:ind w:firstLine="288"/>
      <w:jc w:val="both"/>
    </w:pPr>
    <w:rPr>
      <w:rFonts w:ascii="Times New Roman" w:eastAsia="MS Mincho" w:hAnsi="Times New Roman" w:cs="Times New Roman"/>
      <w:spacing w:val="-1"/>
    </w:rPr>
  </w:style>
  <w:style w:type="character" w:customStyle="1" w:styleId="BodyTextChar">
    <w:name w:val="Body Text Char"/>
    <w:basedOn w:val="DefaultParagraphFont"/>
    <w:link w:val="BodyText"/>
    <w:uiPriority w:val="99"/>
    <w:rsid w:val="000C0F52"/>
    <w:rPr>
      <w:rFonts w:ascii="Times New Roman" w:eastAsia="MS Mincho" w:hAnsi="Times New Roman" w:cs="Times New Roman"/>
      <w:spacing w:val="-1"/>
      <w:lang w:val="en-GB"/>
    </w:rPr>
  </w:style>
  <w:style w:type="character" w:customStyle="1" w:styleId="Heading2Char">
    <w:name w:val="Heading 2 Char"/>
    <w:basedOn w:val="DefaultParagraphFont"/>
    <w:link w:val="Heading2"/>
    <w:uiPriority w:val="99"/>
    <w:rsid w:val="000C0F52"/>
    <w:rPr>
      <w:rFonts w:ascii="Times New Roman" w:eastAsia="MS Mincho" w:hAnsi="Times New Roman" w:cs="Times New Roman"/>
      <w:i/>
      <w:iCs/>
      <w:noProof/>
      <w:lang w:val="en-GB"/>
    </w:rPr>
  </w:style>
  <w:style w:type="character" w:customStyle="1" w:styleId="Heading3Char">
    <w:name w:val="Heading 3 Char"/>
    <w:basedOn w:val="DefaultParagraphFont"/>
    <w:link w:val="Heading3"/>
    <w:uiPriority w:val="99"/>
    <w:rsid w:val="000C0F52"/>
    <w:rPr>
      <w:rFonts w:ascii="Times New Roman" w:eastAsia="MS Mincho" w:hAnsi="Times New Roman" w:cs="Times New Roman"/>
      <w:i/>
      <w:iCs/>
      <w:noProof/>
      <w:lang w:val="en-GB"/>
    </w:rPr>
  </w:style>
  <w:style w:type="character" w:customStyle="1" w:styleId="Heading4Char">
    <w:name w:val="Heading 4 Char"/>
    <w:basedOn w:val="DefaultParagraphFont"/>
    <w:link w:val="Heading4"/>
    <w:uiPriority w:val="99"/>
    <w:rsid w:val="000C0F52"/>
    <w:rPr>
      <w:rFonts w:ascii="Times New Roman" w:eastAsia="MS Mincho" w:hAnsi="Times New Roman" w:cs="Times New Roman"/>
      <w:i/>
      <w:iCs/>
      <w:noProof/>
      <w:lang w:val="en-GB"/>
    </w:rPr>
  </w:style>
  <w:style w:type="paragraph" w:styleId="Caption">
    <w:name w:val="caption"/>
    <w:basedOn w:val="Normal"/>
    <w:next w:val="Normal"/>
    <w:uiPriority w:val="35"/>
    <w:unhideWhenUsed/>
    <w:qFormat/>
    <w:rsid w:val="000C0F52"/>
    <w:pPr>
      <w:spacing w:after="200"/>
      <w:jc w:val="both"/>
    </w:pPr>
    <w:rPr>
      <w:rFonts w:ascii="Times New Roman" w:eastAsia="Times New Roman" w:hAnsi="Times New Roman" w:cs="Times New Roman"/>
      <w:iCs/>
      <w:sz w:val="16"/>
      <w:szCs w:val="18"/>
    </w:rPr>
  </w:style>
  <w:style w:type="paragraph" w:styleId="Bibliography">
    <w:name w:val="Bibliography"/>
    <w:basedOn w:val="Normal"/>
    <w:next w:val="Normal"/>
    <w:uiPriority w:val="37"/>
    <w:unhideWhenUsed/>
    <w:rsid w:val="000C0F52"/>
    <w:pPr>
      <w:spacing w:after="120"/>
      <w:jc w:val="center"/>
    </w:pPr>
    <w:rPr>
      <w:rFonts w:ascii="Times New Roman" w:eastAsia="Times New Roman" w:hAnsi="Times New Roman" w:cs="Times New Roman"/>
    </w:rPr>
  </w:style>
  <w:style w:type="paragraph" w:customStyle="1" w:styleId="default0">
    <w:name w:val="default"/>
    <w:basedOn w:val="Normal"/>
    <w:rsid w:val="00BD2C15"/>
    <w:pPr>
      <w:spacing w:before="100" w:beforeAutospacing="1" w:after="100" w:afterAutospacing="1"/>
    </w:pPr>
    <w:rPr>
      <w:rFonts w:ascii="Times New Roman" w:hAnsi="Times New Roman" w:cs="Times New Roman"/>
      <w:sz w:val="24"/>
      <w:szCs w:val="24"/>
      <w:lang w:eastAsia="en-GB"/>
    </w:rPr>
  </w:style>
  <w:style w:type="character" w:customStyle="1" w:styleId="apple-converted-space">
    <w:name w:val="apple-converted-space"/>
    <w:basedOn w:val="DefaultParagraphFont"/>
    <w:rsid w:val="00BD2C15"/>
  </w:style>
  <w:style w:type="character" w:styleId="PageNumber">
    <w:name w:val="page number"/>
    <w:basedOn w:val="DefaultParagraphFont"/>
    <w:uiPriority w:val="99"/>
    <w:semiHidden/>
    <w:unhideWhenUsed/>
    <w:rsid w:val="006E6F1D"/>
  </w:style>
  <w:style w:type="paragraph" w:customStyle="1" w:styleId="Body">
    <w:name w:val="Body"/>
    <w:basedOn w:val="ListParagraph"/>
    <w:link w:val="BodyChar"/>
    <w:qFormat/>
    <w:rsid w:val="002D4993"/>
    <w:pPr>
      <w:numPr>
        <w:numId w:val="68"/>
      </w:numPr>
      <w:spacing w:before="120" w:after="120"/>
    </w:pPr>
    <w:rPr>
      <w:rFonts w:eastAsia="Times New Roman"/>
      <w:sz w:val="20"/>
    </w:rPr>
  </w:style>
  <w:style w:type="character" w:customStyle="1" w:styleId="BodyChar">
    <w:name w:val="Body Char"/>
    <w:basedOn w:val="DefaultParagraphFont"/>
    <w:link w:val="Body"/>
    <w:rsid w:val="002D4993"/>
    <w:rPr>
      <w:rFonts w:ascii="Calibri" w:eastAsia="Times New Roman" w:hAnsi="Calibri" w:cs="Times New Roman"/>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7072">
      <w:bodyDiv w:val="1"/>
      <w:marLeft w:val="0"/>
      <w:marRight w:val="0"/>
      <w:marTop w:val="0"/>
      <w:marBottom w:val="0"/>
      <w:divBdr>
        <w:top w:val="none" w:sz="0" w:space="0" w:color="auto"/>
        <w:left w:val="none" w:sz="0" w:space="0" w:color="auto"/>
        <w:bottom w:val="none" w:sz="0" w:space="0" w:color="auto"/>
        <w:right w:val="none" w:sz="0" w:space="0" w:color="auto"/>
      </w:divBdr>
    </w:div>
    <w:div w:id="191766042">
      <w:bodyDiv w:val="1"/>
      <w:marLeft w:val="0"/>
      <w:marRight w:val="0"/>
      <w:marTop w:val="0"/>
      <w:marBottom w:val="0"/>
      <w:divBdr>
        <w:top w:val="none" w:sz="0" w:space="0" w:color="auto"/>
        <w:left w:val="none" w:sz="0" w:space="0" w:color="auto"/>
        <w:bottom w:val="none" w:sz="0" w:space="0" w:color="auto"/>
        <w:right w:val="none" w:sz="0" w:space="0" w:color="auto"/>
      </w:divBdr>
    </w:div>
    <w:div w:id="230696897">
      <w:bodyDiv w:val="1"/>
      <w:marLeft w:val="0"/>
      <w:marRight w:val="0"/>
      <w:marTop w:val="0"/>
      <w:marBottom w:val="0"/>
      <w:divBdr>
        <w:top w:val="none" w:sz="0" w:space="0" w:color="auto"/>
        <w:left w:val="none" w:sz="0" w:space="0" w:color="auto"/>
        <w:bottom w:val="none" w:sz="0" w:space="0" w:color="auto"/>
        <w:right w:val="none" w:sz="0" w:space="0" w:color="auto"/>
      </w:divBdr>
    </w:div>
    <w:div w:id="455221166">
      <w:bodyDiv w:val="1"/>
      <w:marLeft w:val="0"/>
      <w:marRight w:val="0"/>
      <w:marTop w:val="0"/>
      <w:marBottom w:val="0"/>
      <w:divBdr>
        <w:top w:val="none" w:sz="0" w:space="0" w:color="auto"/>
        <w:left w:val="none" w:sz="0" w:space="0" w:color="auto"/>
        <w:bottom w:val="none" w:sz="0" w:space="0" w:color="auto"/>
        <w:right w:val="none" w:sz="0" w:space="0" w:color="auto"/>
      </w:divBdr>
    </w:div>
    <w:div w:id="540869758">
      <w:bodyDiv w:val="1"/>
      <w:marLeft w:val="0"/>
      <w:marRight w:val="0"/>
      <w:marTop w:val="0"/>
      <w:marBottom w:val="0"/>
      <w:divBdr>
        <w:top w:val="none" w:sz="0" w:space="0" w:color="auto"/>
        <w:left w:val="none" w:sz="0" w:space="0" w:color="auto"/>
        <w:bottom w:val="none" w:sz="0" w:space="0" w:color="auto"/>
        <w:right w:val="none" w:sz="0" w:space="0" w:color="auto"/>
      </w:divBdr>
      <w:divsChild>
        <w:div w:id="642004039">
          <w:marLeft w:val="0"/>
          <w:marRight w:val="0"/>
          <w:marTop w:val="0"/>
          <w:marBottom w:val="0"/>
          <w:divBdr>
            <w:top w:val="none" w:sz="0" w:space="0" w:color="auto"/>
            <w:left w:val="none" w:sz="0" w:space="0" w:color="auto"/>
            <w:bottom w:val="none" w:sz="0" w:space="0" w:color="auto"/>
            <w:right w:val="none" w:sz="0" w:space="0" w:color="auto"/>
          </w:divBdr>
          <w:divsChild>
            <w:div w:id="1110199092">
              <w:marLeft w:val="0"/>
              <w:marRight w:val="0"/>
              <w:marTop w:val="0"/>
              <w:marBottom w:val="0"/>
              <w:divBdr>
                <w:top w:val="none" w:sz="0" w:space="0" w:color="auto"/>
                <w:left w:val="none" w:sz="0" w:space="0" w:color="auto"/>
                <w:bottom w:val="none" w:sz="0" w:space="0" w:color="auto"/>
                <w:right w:val="none" w:sz="0" w:space="0" w:color="auto"/>
              </w:divBdr>
            </w:div>
            <w:div w:id="1409689185">
              <w:marLeft w:val="0"/>
              <w:marRight w:val="0"/>
              <w:marTop w:val="0"/>
              <w:marBottom w:val="0"/>
              <w:divBdr>
                <w:top w:val="none" w:sz="0" w:space="0" w:color="auto"/>
                <w:left w:val="none" w:sz="0" w:space="0" w:color="auto"/>
                <w:bottom w:val="none" w:sz="0" w:space="0" w:color="auto"/>
                <w:right w:val="none" w:sz="0" w:space="0" w:color="auto"/>
              </w:divBdr>
            </w:div>
            <w:div w:id="1926723491">
              <w:marLeft w:val="0"/>
              <w:marRight w:val="0"/>
              <w:marTop w:val="0"/>
              <w:marBottom w:val="0"/>
              <w:divBdr>
                <w:top w:val="none" w:sz="0" w:space="0" w:color="auto"/>
                <w:left w:val="none" w:sz="0" w:space="0" w:color="auto"/>
                <w:bottom w:val="none" w:sz="0" w:space="0" w:color="auto"/>
                <w:right w:val="none" w:sz="0" w:space="0" w:color="auto"/>
              </w:divBdr>
            </w:div>
            <w:div w:id="19288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59404">
      <w:bodyDiv w:val="1"/>
      <w:marLeft w:val="0"/>
      <w:marRight w:val="0"/>
      <w:marTop w:val="0"/>
      <w:marBottom w:val="0"/>
      <w:divBdr>
        <w:top w:val="none" w:sz="0" w:space="0" w:color="auto"/>
        <w:left w:val="none" w:sz="0" w:space="0" w:color="auto"/>
        <w:bottom w:val="none" w:sz="0" w:space="0" w:color="auto"/>
        <w:right w:val="none" w:sz="0" w:space="0" w:color="auto"/>
      </w:divBdr>
    </w:div>
    <w:div w:id="686954531">
      <w:bodyDiv w:val="1"/>
      <w:marLeft w:val="0"/>
      <w:marRight w:val="0"/>
      <w:marTop w:val="0"/>
      <w:marBottom w:val="0"/>
      <w:divBdr>
        <w:top w:val="none" w:sz="0" w:space="0" w:color="auto"/>
        <w:left w:val="none" w:sz="0" w:space="0" w:color="auto"/>
        <w:bottom w:val="none" w:sz="0" w:space="0" w:color="auto"/>
        <w:right w:val="none" w:sz="0" w:space="0" w:color="auto"/>
      </w:divBdr>
    </w:div>
    <w:div w:id="1012992897">
      <w:bodyDiv w:val="1"/>
      <w:marLeft w:val="0"/>
      <w:marRight w:val="0"/>
      <w:marTop w:val="0"/>
      <w:marBottom w:val="0"/>
      <w:divBdr>
        <w:top w:val="none" w:sz="0" w:space="0" w:color="auto"/>
        <w:left w:val="none" w:sz="0" w:space="0" w:color="auto"/>
        <w:bottom w:val="none" w:sz="0" w:space="0" w:color="auto"/>
        <w:right w:val="none" w:sz="0" w:space="0" w:color="auto"/>
      </w:divBdr>
    </w:div>
    <w:div w:id="1035036114">
      <w:bodyDiv w:val="1"/>
      <w:marLeft w:val="0"/>
      <w:marRight w:val="0"/>
      <w:marTop w:val="0"/>
      <w:marBottom w:val="0"/>
      <w:divBdr>
        <w:top w:val="none" w:sz="0" w:space="0" w:color="auto"/>
        <w:left w:val="none" w:sz="0" w:space="0" w:color="auto"/>
        <w:bottom w:val="none" w:sz="0" w:space="0" w:color="auto"/>
        <w:right w:val="none" w:sz="0" w:space="0" w:color="auto"/>
      </w:divBdr>
    </w:div>
    <w:div w:id="1144617478">
      <w:bodyDiv w:val="1"/>
      <w:marLeft w:val="0"/>
      <w:marRight w:val="0"/>
      <w:marTop w:val="0"/>
      <w:marBottom w:val="0"/>
      <w:divBdr>
        <w:top w:val="none" w:sz="0" w:space="0" w:color="auto"/>
        <w:left w:val="none" w:sz="0" w:space="0" w:color="auto"/>
        <w:bottom w:val="none" w:sz="0" w:space="0" w:color="auto"/>
        <w:right w:val="none" w:sz="0" w:space="0" w:color="auto"/>
      </w:divBdr>
    </w:div>
    <w:div w:id="1166241960">
      <w:bodyDiv w:val="1"/>
      <w:marLeft w:val="0"/>
      <w:marRight w:val="0"/>
      <w:marTop w:val="0"/>
      <w:marBottom w:val="0"/>
      <w:divBdr>
        <w:top w:val="none" w:sz="0" w:space="0" w:color="auto"/>
        <w:left w:val="none" w:sz="0" w:space="0" w:color="auto"/>
        <w:bottom w:val="none" w:sz="0" w:space="0" w:color="auto"/>
        <w:right w:val="none" w:sz="0" w:space="0" w:color="auto"/>
      </w:divBdr>
    </w:div>
    <w:div w:id="1182665746">
      <w:bodyDiv w:val="1"/>
      <w:marLeft w:val="0"/>
      <w:marRight w:val="0"/>
      <w:marTop w:val="0"/>
      <w:marBottom w:val="0"/>
      <w:divBdr>
        <w:top w:val="none" w:sz="0" w:space="0" w:color="auto"/>
        <w:left w:val="none" w:sz="0" w:space="0" w:color="auto"/>
        <w:bottom w:val="none" w:sz="0" w:space="0" w:color="auto"/>
        <w:right w:val="none" w:sz="0" w:space="0" w:color="auto"/>
      </w:divBdr>
    </w:div>
    <w:div w:id="1191530512">
      <w:bodyDiv w:val="1"/>
      <w:marLeft w:val="0"/>
      <w:marRight w:val="0"/>
      <w:marTop w:val="0"/>
      <w:marBottom w:val="0"/>
      <w:divBdr>
        <w:top w:val="none" w:sz="0" w:space="0" w:color="auto"/>
        <w:left w:val="none" w:sz="0" w:space="0" w:color="auto"/>
        <w:bottom w:val="none" w:sz="0" w:space="0" w:color="auto"/>
        <w:right w:val="none" w:sz="0" w:space="0" w:color="auto"/>
      </w:divBdr>
    </w:div>
    <w:div w:id="1456756044">
      <w:bodyDiv w:val="1"/>
      <w:marLeft w:val="0"/>
      <w:marRight w:val="0"/>
      <w:marTop w:val="0"/>
      <w:marBottom w:val="0"/>
      <w:divBdr>
        <w:top w:val="none" w:sz="0" w:space="0" w:color="auto"/>
        <w:left w:val="none" w:sz="0" w:space="0" w:color="auto"/>
        <w:bottom w:val="none" w:sz="0" w:space="0" w:color="auto"/>
        <w:right w:val="none" w:sz="0" w:space="0" w:color="auto"/>
      </w:divBdr>
    </w:div>
    <w:div w:id="1495299249">
      <w:bodyDiv w:val="1"/>
      <w:marLeft w:val="0"/>
      <w:marRight w:val="0"/>
      <w:marTop w:val="0"/>
      <w:marBottom w:val="0"/>
      <w:divBdr>
        <w:top w:val="none" w:sz="0" w:space="0" w:color="auto"/>
        <w:left w:val="none" w:sz="0" w:space="0" w:color="auto"/>
        <w:bottom w:val="none" w:sz="0" w:space="0" w:color="auto"/>
        <w:right w:val="none" w:sz="0" w:space="0" w:color="auto"/>
      </w:divBdr>
    </w:div>
    <w:div w:id="1762214433">
      <w:bodyDiv w:val="1"/>
      <w:marLeft w:val="0"/>
      <w:marRight w:val="0"/>
      <w:marTop w:val="0"/>
      <w:marBottom w:val="0"/>
      <w:divBdr>
        <w:top w:val="none" w:sz="0" w:space="0" w:color="auto"/>
        <w:left w:val="none" w:sz="0" w:space="0" w:color="auto"/>
        <w:bottom w:val="none" w:sz="0" w:space="0" w:color="auto"/>
        <w:right w:val="none" w:sz="0" w:space="0" w:color="auto"/>
      </w:divBdr>
    </w:div>
    <w:div w:id="1880700458">
      <w:bodyDiv w:val="1"/>
      <w:marLeft w:val="0"/>
      <w:marRight w:val="0"/>
      <w:marTop w:val="0"/>
      <w:marBottom w:val="0"/>
      <w:divBdr>
        <w:top w:val="none" w:sz="0" w:space="0" w:color="auto"/>
        <w:left w:val="none" w:sz="0" w:space="0" w:color="auto"/>
        <w:bottom w:val="none" w:sz="0" w:space="0" w:color="auto"/>
        <w:right w:val="none" w:sz="0" w:space="0" w:color="auto"/>
      </w:divBdr>
    </w:div>
    <w:div w:id="203615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 Id="rId30" Type="http://schemas.openxmlformats.org/officeDocument/2006/relationships/customXml" Target="../customXml/item5.xml"/></Relationships>
</file>

<file path=word/theme/theme1.xml><?xml version="1.0" encoding="utf-8"?>
<a:theme xmlns:a="http://schemas.openxmlformats.org/drawingml/2006/main" name="Larissa">
  <a:themeElements>
    <a:clrScheme name="Entsoe">
      <a:dk1>
        <a:sysClr val="windowText" lastClr="000000"/>
      </a:dk1>
      <a:lt1>
        <a:sysClr val="window" lastClr="FFFFFF"/>
      </a:lt1>
      <a:dk2>
        <a:srgbClr val="23236E"/>
      </a:dk2>
      <a:lt2>
        <a:srgbClr val="636466"/>
      </a:lt2>
      <a:accent1>
        <a:srgbClr val="585C9F"/>
      </a:accent1>
      <a:accent2>
        <a:srgbClr val="797BB7"/>
      </a:accent2>
      <a:accent3>
        <a:srgbClr val="7F5A9B"/>
      </a:accent3>
      <a:accent4>
        <a:srgbClr val="B4B4C8"/>
      </a:accent4>
      <a:accent5>
        <a:srgbClr val="487BB4"/>
      </a:accent5>
      <a:accent6>
        <a:srgbClr val="9EBF57"/>
      </a:accent6>
      <a:hlink>
        <a:srgbClr val="0000FF"/>
      </a:hlink>
      <a:folHlink>
        <a:srgbClr val="800080"/>
      </a:folHlink>
    </a:clrScheme>
    <a:fontScheme name="Entsoe">
      <a:majorFont>
        <a:latin typeface="Arial"/>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ACER-2019-88195</_dlc_DocId>
    <_dlc_DocIdUrl xmlns="985daa2e-53d8-4475-82b8-9c7d25324e34">
      <Url>https://extranet.acer.europa.eu/en/Electricity/MARKET-CODES/CAPACITY-ALLOCATION-AND-CONGESTION-MANAGEMENT/_layouts/15/DocIdRedir.aspx?ID=ACER-2019-88195</Url>
      <Description>ACER-2019-88195</Description>
    </_dlc_DocIdUrl>
    <Publishing_x0020_date xmlns="7bd7530c-6cfd-4e50-ab17-5fea2aac87a9" xsi:nil="true"/>
    <Description0 xmlns="7bd7530c-6cfd-4e50-ab17-5fea2aac87a9" xsi:nil="true"/>
    <ACER_Abstract xmlns="985daa2e-53d8-4475-82b8-9c7d25324e3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62D41E9C9D9FD4395F4D11AA7F3E0CB" ma:contentTypeVersion="21" ma:contentTypeDescription="Create a new document." ma:contentTypeScope="" ma:versionID="08a6b5ddef4fb5131ad4425b252ecc6a">
  <xsd:schema xmlns:xsd="http://www.w3.org/2001/XMLSchema" xmlns:xs="http://www.w3.org/2001/XMLSchema" xmlns:p="http://schemas.microsoft.com/office/2006/metadata/properties" xmlns:ns2="985daa2e-53d8-4475-82b8-9c7d25324e34" xmlns:ns3="7bd7530c-6cfd-4e50-ab17-5fea2aac87a9" targetNamespace="http://schemas.microsoft.com/office/2006/metadata/properties" ma:root="true" ma:fieldsID="15f609f4fe258130a3b4814738bbb8ce" ns2:_="" ns3:_="">
    <xsd:import namespace="985daa2e-53d8-4475-82b8-9c7d25324e34"/>
    <xsd:import namespace="7bd7530c-6cfd-4e50-ab17-5fea2aac87a9"/>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element ref="ns3:Description0" minOccurs="0"/>
                <xsd:element ref="ns3:Publish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d7530c-6cfd-4e50-ab17-5fea2aac87a9"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xsd:simpleType>
        <xsd:restriction base="dms:Note">
          <xsd:maxLength value="255"/>
        </xsd:restriction>
      </xsd:simpleType>
    </xsd:element>
    <xsd:element name="Publishing_x0020_date" ma:index="13" nillable="true" ma:displayName="Publishing date" ma:format="DateOnly" ma:internalName="Publish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Props1.xml><?xml version="1.0" encoding="utf-8"?>
<ds:datastoreItem xmlns:ds="http://schemas.openxmlformats.org/officeDocument/2006/customXml" ds:itemID="{D10990EC-4E61-45B8-98DF-AFE648AE35FE}"/>
</file>

<file path=customXml/itemProps2.xml><?xml version="1.0" encoding="utf-8"?>
<ds:datastoreItem xmlns:ds="http://schemas.openxmlformats.org/officeDocument/2006/customXml" ds:itemID="{62BF1E95-1986-424C-8BF1-60E4A690D4C3}"/>
</file>

<file path=customXml/itemProps3.xml><?xml version="1.0" encoding="utf-8"?>
<ds:datastoreItem xmlns:ds="http://schemas.openxmlformats.org/officeDocument/2006/customXml" ds:itemID="{D5563291-A085-4219-8458-90D96D699F0C}"/>
</file>

<file path=customXml/itemProps4.xml><?xml version="1.0" encoding="utf-8"?>
<ds:datastoreItem xmlns:ds="http://schemas.openxmlformats.org/officeDocument/2006/customXml" ds:itemID="{3B1BDC71-3E37-441C-A9AA-2448D94A6C35}"/>
</file>

<file path=customXml/itemProps5.xml><?xml version="1.0" encoding="utf-8"?>
<ds:datastoreItem xmlns:ds="http://schemas.openxmlformats.org/officeDocument/2006/customXml" ds:itemID="{2F762AF7-5990-4723-A0AB-2AB0F67C6812}"/>
</file>

<file path=docProps/app.xml><?xml version="1.0" encoding="utf-8"?>
<Properties xmlns="http://schemas.openxmlformats.org/officeDocument/2006/extended-properties" xmlns:vt="http://schemas.openxmlformats.org/officeDocument/2006/docPropsVTypes">
  <Template>Normal</Template>
  <TotalTime>25</TotalTime>
  <Pages>15</Pages>
  <Words>4637</Words>
  <Characters>26436</Characters>
  <Application>Microsoft Office Word</Application>
  <DocSecurity>0</DocSecurity>
  <Lines>220</Lines>
  <Paragraphs>62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50Hertz Transmission GmbH</Company>
  <LinksUpToDate>false</LinksUpToDate>
  <CharactersWithSpaces>31011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BAA-PUYOULET Benjamin</dc:creator>
  <cp:lastModifiedBy>Windows User</cp:lastModifiedBy>
  <cp:revision>8</cp:revision>
  <cp:lastPrinted>2018-08-25T12:16:00Z</cp:lastPrinted>
  <dcterms:created xsi:type="dcterms:W3CDTF">2018-09-01T07:22:00Z</dcterms:created>
  <dcterms:modified xsi:type="dcterms:W3CDTF">2018-09-03T21:27:00Z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Project">
    <vt:lpwstr>HAR</vt:lpwstr>
  </property>
  <property fmtid="{D5CDD505-2E9C-101B-9397-08002B2CF9AE}" pid="5" name="RESPONSE_SENDER_NAME">
    <vt:lpwstr>gAAAdya76B99d4hLGUR1rQ+8TxTv0GGEPdix</vt:lpwstr>
  </property>
  <property fmtid="{D5CDD505-2E9C-101B-9397-08002B2CF9AE}" pid="6" name="b">
    <vt:lpwstr/>
  </property>
  <property fmtid="{D5CDD505-2E9C-101B-9397-08002B2CF9AE}" pid="7" name="EMAIL_OWNER_ADDRESS">
    <vt:lpwstr>ABAAgoCixPcRe8nRPtFp8faWM+/LRRoMcWtFbczVsIxOLMTytqbzB/Z8WwLsw3RwSOOv</vt:lpwstr>
  </property>
  <property fmtid="{D5CDD505-2E9C-101B-9397-08002B2CF9AE}" pid="8" name="ContentTypeId">
    <vt:lpwstr>0x010100362D41E9C9D9FD4395F4D11AA7F3E0CB</vt:lpwstr>
  </property>
  <property fmtid="{D5CDD505-2E9C-101B-9397-08002B2CF9AE}" pid="9" name="m21e1f176c4a4ad491d679d83442a8a3">
    <vt:lpwstr/>
  </property>
  <property fmtid="{D5CDD505-2E9C-101B-9397-08002B2CF9AE}" pid="10" name="MAIL_MSG_ID1">
    <vt:lpwstr>aCAABhMWmzrCt9158Rmt51G9CrO4+uL55r15EY56B/w0q/3oFNfRYe5xV4eKJ/AepI/vG1KA8AqAdx4j
sC6YV+PSXvHcUhazSCJO+uU4zQOebKEZsAntnrqLDobSqsQ48z8c9Mldo7nDKvhbNT+SCYzgeA==</vt:lpwstr>
  </property>
  <property fmtid="{D5CDD505-2E9C-101B-9397-08002B2CF9AE}" pid="11" name="_dlc_DocIdItemGuid">
    <vt:lpwstr>856af186-d206-47ae-93da-fe5ae80fe3f3</vt:lpwstr>
  </property>
</Properties>
</file>